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F374" w14:textId="77777777" w:rsidR="000A2F76" w:rsidRDefault="000A2F76" w:rsidP="00703919">
      <w:pPr>
        <w:jc w:val="center"/>
      </w:pPr>
    </w:p>
    <w:p w14:paraId="5A027DC1" w14:textId="77777777" w:rsidR="00703919" w:rsidRDefault="00703919" w:rsidP="00703919">
      <w:pPr>
        <w:jc w:val="center"/>
      </w:pPr>
    </w:p>
    <w:p w14:paraId="72E74C27" w14:textId="77777777" w:rsidR="00703919" w:rsidRDefault="00703919" w:rsidP="00703919">
      <w:pPr>
        <w:jc w:val="center"/>
      </w:pPr>
    </w:p>
    <w:p w14:paraId="2B21B990" w14:textId="77777777" w:rsidR="00703919" w:rsidRDefault="00703919" w:rsidP="003524ED">
      <w:pPr>
        <w:jc w:val="center"/>
      </w:pPr>
    </w:p>
    <w:p w14:paraId="5854B640" w14:textId="77777777" w:rsidR="00703919" w:rsidRDefault="00703919" w:rsidP="00703919">
      <w:pPr>
        <w:jc w:val="center"/>
      </w:pPr>
    </w:p>
    <w:p w14:paraId="56F00213" w14:textId="33EABC7C" w:rsidR="00C70AC2" w:rsidRPr="00C65C46" w:rsidRDefault="003524ED" w:rsidP="00C70AC2">
      <w:pPr>
        <w:jc w:val="center"/>
      </w:pPr>
      <w:r>
        <w:rPr>
          <w:noProof/>
        </w:rPr>
        <w:drawing>
          <wp:inline distT="0" distB="0" distL="0" distR="0" wp14:anchorId="4F4DA2AF" wp14:editId="7066F1E8">
            <wp:extent cx="4408617" cy="1223158"/>
            <wp:effectExtent l="0" t="0" r="0" b="0"/>
            <wp:docPr id="1071601608"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01608" name="Picture 1" descr="A picture containing text, font, logo, graphic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5396" cy="1236137"/>
                    </a:xfrm>
                    <a:prstGeom prst="rect">
                      <a:avLst/>
                    </a:prstGeom>
                    <a:noFill/>
                    <a:ln>
                      <a:noFill/>
                    </a:ln>
                  </pic:spPr>
                </pic:pic>
              </a:graphicData>
            </a:graphic>
          </wp:inline>
        </w:drawing>
      </w:r>
    </w:p>
    <w:p w14:paraId="77E67F9E" w14:textId="77777777" w:rsidR="00703919" w:rsidRPr="00C65C46" w:rsidRDefault="00703919" w:rsidP="00703919">
      <w:pPr>
        <w:jc w:val="center"/>
      </w:pPr>
    </w:p>
    <w:p w14:paraId="7743B3E6" w14:textId="77777777" w:rsidR="00703919" w:rsidRPr="00C65C46" w:rsidRDefault="00703919" w:rsidP="00703919">
      <w:pPr>
        <w:jc w:val="center"/>
      </w:pPr>
    </w:p>
    <w:p w14:paraId="75E3EC28" w14:textId="77777777" w:rsidR="00703919" w:rsidRPr="00C65C46" w:rsidRDefault="00703919" w:rsidP="00703919">
      <w:pPr>
        <w:jc w:val="center"/>
      </w:pPr>
    </w:p>
    <w:p w14:paraId="57A89659" w14:textId="77777777" w:rsidR="00703919" w:rsidRPr="00C65C46" w:rsidRDefault="00703919" w:rsidP="00703919">
      <w:pPr>
        <w:jc w:val="center"/>
      </w:pPr>
    </w:p>
    <w:p w14:paraId="2FD1734C" w14:textId="5FA77A91" w:rsidR="00703919" w:rsidRPr="00CF24D5" w:rsidRDefault="00703919" w:rsidP="00703919">
      <w:pPr>
        <w:jc w:val="center"/>
        <w:rPr>
          <w:sz w:val="28"/>
          <w:szCs w:val="28"/>
          <w:lang w:val="en-GB"/>
        </w:rPr>
      </w:pPr>
      <w:r w:rsidRPr="00CF24D5">
        <w:rPr>
          <w:sz w:val="28"/>
          <w:szCs w:val="28"/>
          <w:lang w:val="en-GB"/>
        </w:rPr>
        <w:t>PRINCESS2 TRIAL FOLLOW</w:t>
      </w:r>
      <w:r w:rsidR="00D437A2" w:rsidRPr="00CF24D5">
        <w:rPr>
          <w:sz w:val="28"/>
          <w:szCs w:val="28"/>
          <w:lang w:val="en-GB"/>
        </w:rPr>
        <w:t>-</w:t>
      </w:r>
      <w:r w:rsidRPr="00CF24D5">
        <w:rPr>
          <w:sz w:val="28"/>
          <w:szCs w:val="28"/>
          <w:lang w:val="en-GB"/>
        </w:rPr>
        <w:t>UP MANUAL</w:t>
      </w:r>
    </w:p>
    <w:p w14:paraId="0A3D2663" w14:textId="59016C14" w:rsidR="00703919" w:rsidRPr="00CF24D5" w:rsidRDefault="00703919" w:rsidP="00703919">
      <w:pPr>
        <w:jc w:val="center"/>
        <w:rPr>
          <w:sz w:val="28"/>
          <w:szCs w:val="28"/>
          <w:lang w:val="en-GB"/>
        </w:rPr>
      </w:pPr>
      <w:r w:rsidRPr="00CF24D5">
        <w:rPr>
          <w:sz w:val="28"/>
          <w:szCs w:val="28"/>
          <w:lang w:val="en-GB"/>
        </w:rPr>
        <w:t>Version 20230426</w:t>
      </w:r>
    </w:p>
    <w:p w14:paraId="6659D82F" w14:textId="77777777" w:rsidR="00C70AC2" w:rsidRDefault="00C70AC2" w:rsidP="00703919">
      <w:pPr>
        <w:jc w:val="center"/>
        <w:rPr>
          <w:lang w:val="en-GB"/>
        </w:rPr>
      </w:pPr>
    </w:p>
    <w:p w14:paraId="43B94FD4" w14:textId="77777777" w:rsidR="00C70AC2" w:rsidRDefault="00C70AC2" w:rsidP="00703919">
      <w:pPr>
        <w:jc w:val="center"/>
        <w:rPr>
          <w:lang w:val="en-GB"/>
        </w:rPr>
      </w:pPr>
    </w:p>
    <w:p w14:paraId="05671EB8" w14:textId="77777777" w:rsidR="00C70AC2" w:rsidRDefault="00C70AC2" w:rsidP="00703919">
      <w:pPr>
        <w:jc w:val="center"/>
        <w:rPr>
          <w:lang w:val="en-GB"/>
        </w:rPr>
      </w:pPr>
    </w:p>
    <w:p w14:paraId="69B94B3A" w14:textId="41F725EB" w:rsidR="00C70AC2" w:rsidRPr="00EC02F0" w:rsidRDefault="00C70AC2" w:rsidP="00C70AC2">
      <w:pPr>
        <w:jc w:val="center"/>
        <w:rPr>
          <w:lang w:val="en-GB"/>
        </w:rPr>
      </w:pPr>
    </w:p>
    <w:p w14:paraId="3457D62B" w14:textId="5076724A" w:rsidR="00C70AC2" w:rsidRDefault="00C70AC2" w:rsidP="00703919">
      <w:pPr>
        <w:jc w:val="center"/>
        <w:rPr>
          <w:lang w:val="en-GB"/>
        </w:rPr>
      </w:pPr>
    </w:p>
    <w:p w14:paraId="24F34CD6" w14:textId="620E6F4A" w:rsidR="00C70AC2" w:rsidRDefault="00D2049F">
      <w:pPr>
        <w:rPr>
          <w:lang w:val="en-GB"/>
        </w:rPr>
      </w:pPr>
      <w:r w:rsidRPr="007511E5">
        <w:rPr>
          <w:noProof/>
          <w:lang w:val="en-GB"/>
        </w:rPr>
        <w:drawing>
          <wp:anchor distT="0" distB="0" distL="114300" distR="114300" simplePos="0" relativeHeight="251661312" behindDoc="1" locked="0" layoutInCell="1" allowOverlap="1" wp14:anchorId="2FD286FF" wp14:editId="3ACB96CF">
            <wp:simplePos x="0" y="0"/>
            <wp:positionH relativeFrom="column">
              <wp:posOffset>3071429</wp:posOffset>
            </wp:positionH>
            <wp:positionV relativeFrom="paragraph">
              <wp:posOffset>675326</wp:posOffset>
            </wp:positionV>
            <wp:extent cx="1733550" cy="862965"/>
            <wp:effectExtent l="0" t="0" r="0" b="0"/>
            <wp:wrapTight wrapText="bothSides">
              <wp:wrapPolygon edited="0">
                <wp:start x="3560" y="2384"/>
                <wp:lineTo x="2136" y="5722"/>
                <wp:lineTo x="1187" y="8583"/>
                <wp:lineTo x="1187" y="11921"/>
                <wp:lineTo x="3086" y="17166"/>
                <wp:lineTo x="3560" y="18119"/>
                <wp:lineTo x="6646" y="18119"/>
                <wp:lineTo x="12580" y="17166"/>
                <wp:lineTo x="18989" y="13828"/>
                <wp:lineTo x="18752" y="10967"/>
                <wp:lineTo x="20176" y="9060"/>
                <wp:lineTo x="18989" y="5722"/>
                <wp:lineTo x="6884" y="2384"/>
                <wp:lineTo x="3560" y="2384"/>
              </wp:wrapPolygon>
            </wp:wrapTight>
            <wp:docPr id="309391989" name="Picture 2" descr="Beskrivning: KI-Logo_po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Beskrivning: KI-Logo_pos.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86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1E5">
        <w:rPr>
          <w:noProof/>
          <w:lang w:val="en-GB"/>
        </w:rPr>
        <w:drawing>
          <wp:anchor distT="0" distB="0" distL="114300" distR="114300" simplePos="0" relativeHeight="251659264" behindDoc="1" locked="0" layoutInCell="1" allowOverlap="1" wp14:anchorId="3ABE8D1F" wp14:editId="38B9E512">
            <wp:simplePos x="0" y="0"/>
            <wp:positionH relativeFrom="margin">
              <wp:posOffset>785503</wp:posOffset>
            </wp:positionH>
            <wp:positionV relativeFrom="paragraph">
              <wp:posOffset>702821</wp:posOffset>
            </wp:positionV>
            <wp:extent cx="1914525" cy="802005"/>
            <wp:effectExtent l="0" t="0" r="9525" b="0"/>
            <wp:wrapThrough wrapText="bothSides">
              <wp:wrapPolygon edited="0">
                <wp:start x="0" y="0"/>
                <wp:lineTo x="0" y="21036"/>
                <wp:lineTo x="21493" y="21036"/>
                <wp:lineTo x="21493" y="0"/>
                <wp:lineTo x="0" y="0"/>
              </wp:wrapPolygon>
            </wp:wrapThrough>
            <wp:docPr id="328029106" name="Picture 1" descr="A picture containing font, symbol, log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29106" name="Picture 1" descr="A picture containing font, symbol, logo, whit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919">
        <w:rPr>
          <w:lang w:val="en-GB"/>
        </w:rPr>
        <w:br w:type="page"/>
      </w:r>
    </w:p>
    <w:p w14:paraId="10138C7E" w14:textId="77777777" w:rsidR="00703919" w:rsidRPr="00703919" w:rsidRDefault="00703919" w:rsidP="00703919">
      <w:pPr>
        <w:jc w:val="center"/>
        <w:rPr>
          <w:lang w:val="en-GB"/>
        </w:rPr>
      </w:pPr>
    </w:p>
    <w:p w14:paraId="7E3AB7A5" w14:textId="77777777" w:rsidR="0030323A" w:rsidRDefault="0030323A">
      <w:pPr>
        <w:rPr>
          <w:lang w:val="en-GB"/>
        </w:rPr>
      </w:pPr>
    </w:p>
    <w:sdt>
      <w:sdtPr>
        <w:rPr>
          <w:rFonts w:asciiTheme="minorHAnsi" w:eastAsiaTheme="minorHAnsi" w:hAnsiTheme="minorHAnsi" w:cstheme="minorBidi"/>
          <w:color w:val="auto"/>
          <w:kern w:val="2"/>
          <w:sz w:val="22"/>
          <w:szCs w:val="22"/>
          <w:lang w:val="sv-SE"/>
          <w14:ligatures w14:val="standardContextual"/>
        </w:rPr>
        <w:id w:val="-858811696"/>
        <w:docPartObj>
          <w:docPartGallery w:val="Table of Contents"/>
          <w:docPartUnique/>
        </w:docPartObj>
      </w:sdtPr>
      <w:sdtEndPr>
        <w:rPr>
          <w:b/>
          <w:bCs/>
          <w:noProof/>
        </w:rPr>
      </w:sdtEndPr>
      <w:sdtContent>
        <w:p w14:paraId="74CFF0F1" w14:textId="19016ABB" w:rsidR="0030323A" w:rsidRPr="0030323A" w:rsidRDefault="0030323A">
          <w:pPr>
            <w:pStyle w:val="TOCHeading"/>
            <w:rPr>
              <w:color w:val="auto"/>
            </w:rPr>
          </w:pPr>
          <w:r w:rsidRPr="0030323A">
            <w:rPr>
              <w:color w:val="auto"/>
            </w:rPr>
            <w:t>Contents</w:t>
          </w:r>
        </w:p>
        <w:p w14:paraId="13961ADE" w14:textId="77777777" w:rsidR="0030323A" w:rsidRPr="0030323A" w:rsidRDefault="0030323A" w:rsidP="0030323A">
          <w:pPr>
            <w:rPr>
              <w:lang w:val="en-US"/>
            </w:rPr>
          </w:pPr>
        </w:p>
        <w:p w14:paraId="215F976C" w14:textId="1EC208FE" w:rsidR="00580D90" w:rsidRDefault="0030323A">
          <w:pPr>
            <w:pStyle w:val="TOC1"/>
            <w:tabs>
              <w:tab w:val="left" w:pos="440"/>
              <w:tab w:val="right" w:leader="dot" w:pos="9060"/>
            </w:tabs>
            <w:rPr>
              <w:rFonts w:eastAsiaTheme="minorEastAsia"/>
              <w:noProof/>
              <w:lang w:eastAsia="sv-SE"/>
            </w:rPr>
          </w:pPr>
          <w:r>
            <w:fldChar w:fldCharType="begin"/>
          </w:r>
          <w:r>
            <w:instrText xml:space="preserve"> TOC \o "1-3" \h \z \u </w:instrText>
          </w:r>
          <w:r>
            <w:fldChar w:fldCharType="separate"/>
          </w:r>
          <w:hyperlink w:anchor="_Toc135039229" w:history="1">
            <w:r w:rsidR="00580D90" w:rsidRPr="009C1F94">
              <w:rPr>
                <w:rStyle w:val="Hyperlink"/>
                <w:noProof/>
                <w:lang w:val="en-GB"/>
              </w:rPr>
              <w:t>1.</w:t>
            </w:r>
            <w:r w:rsidR="00580D90">
              <w:rPr>
                <w:rFonts w:eastAsiaTheme="minorEastAsia"/>
                <w:noProof/>
                <w:lang w:eastAsia="sv-SE"/>
              </w:rPr>
              <w:tab/>
            </w:r>
            <w:r w:rsidR="00580D90" w:rsidRPr="009C1F94">
              <w:rPr>
                <w:rStyle w:val="Hyperlink"/>
                <w:noProof/>
                <w:lang w:val="en-GB"/>
              </w:rPr>
              <w:t>Introduction</w:t>
            </w:r>
            <w:r w:rsidR="00580D90">
              <w:rPr>
                <w:noProof/>
                <w:webHidden/>
              </w:rPr>
              <w:tab/>
            </w:r>
            <w:r w:rsidR="00580D90">
              <w:rPr>
                <w:noProof/>
                <w:webHidden/>
              </w:rPr>
              <w:fldChar w:fldCharType="begin"/>
            </w:r>
            <w:r w:rsidR="00580D90">
              <w:rPr>
                <w:noProof/>
                <w:webHidden/>
              </w:rPr>
              <w:instrText xml:space="preserve"> PAGEREF _Toc135039229 \h </w:instrText>
            </w:r>
            <w:r w:rsidR="00580D90">
              <w:rPr>
                <w:noProof/>
                <w:webHidden/>
              </w:rPr>
            </w:r>
            <w:r w:rsidR="00580D90">
              <w:rPr>
                <w:noProof/>
                <w:webHidden/>
              </w:rPr>
              <w:fldChar w:fldCharType="separate"/>
            </w:r>
            <w:r w:rsidR="00580D90">
              <w:rPr>
                <w:noProof/>
                <w:webHidden/>
              </w:rPr>
              <w:t>3</w:t>
            </w:r>
            <w:r w:rsidR="00580D90">
              <w:rPr>
                <w:noProof/>
                <w:webHidden/>
              </w:rPr>
              <w:fldChar w:fldCharType="end"/>
            </w:r>
          </w:hyperlink>
        </w:p>
        <w:p w14:paraId="6B40E14C" w14:textId="331CE563" w:rsidR="00580D90" w:rsidRDefault="002C0F57">
          <w:pPr>
            <w:pStyle w:val="TOC1"/>
            <w:tabs>
              <w:tab w:val="left" w:pos="440"/>
              <w:tab w:val="right" w:leader="dot" w:pos="9060"/>
            </w:tabs>
            <w:rPr>
              <w:rFonts w:eastAsiaTheme="minorEastAsia"/>
              <w:noProof/>
              <w:lang w:eastAsia="sv-SE"/>
            </w:rPr>
          </w:pPr>
          <w:hyperlink w:anchor="_Toc135039230" w:history="1">
            <w:r w:rsidR="00580D90" w:rsidRPr="009C1F94">
              <w:rPr>
                <w:rStyle w:val="Hyperlink"/>
                <w:noProof/>
                <w:lang w:val="en-GB"/>
              </w:rPr>
              <w:t>2.</w:t>
            </w:r>
            <w:r w:rsidR="00580D90">
              <w:rPr>
                <w:rFonts w:eastAsiaTheme="minorEastAsia"/>
                <w:noProof/>
                <w:lang w:eastAsia="sv-SE"/>
              </w:rPr>
              <w:tab/>
            </w:r>
            <w:r w:rsidR="00580D90" w:rsidRPr="009C1F94">
              <w:rPr>
                <w:rStyle w:val="Hyperlink"/>
                <w:noProof/>
                <w:lang w:val="en-GB"/>
              </w:rPr>
              <w:t>The blinded outcome assessor</w:t>
            </w:r>
            <w:r w:rsidR="00580D90">
              <w:rPr>
                <w:noProof/>
                <w:webHidden/>
              </w:rPr>
              <w:tab/>
            </w:r>
            <w:r w:rsidR="00580D90">
              <w:rPr>
                <w:noProof/>
                <w:webHidden/>
              </w:rPr>
              <w:fldChar w:fldCharType="begin"/>
            </w:r>
            <w:r w:rsidR="00580D90">
              <w:rPr>
                <w:noProof/>
                <w:webHidden/>
              </w:rPr>
              <w:instrText xml:space="preserve"> PAGEREF _Toc135039230 \h </w:instrText>
            </w:r>
            <w:r w:rsidR="00580D90">
              <w:rPr>
                <w:noProof/>
                <w:webHidden/>
              </w:rPr>
            </w:r>
            <w:r w:rsidR="00580D90">
              <w:rPr>
                <w:noProof/>
                <w:webHidden/>
              </w:rPr>
              <w:fldChar w:fldCharType="separate"/>
            </w:r>
            <w:r w:rsidR="00580D90">
              <w:rPr>
                <w:noProof/>
                <w:webHidden/>
              </w:rPr>
              <w:t>3</w:t>
            </w:r>
            <w:r w:rsidR="00580D90">
              <w:rPr>
                <w:noProof/>
                <w:webHidden/>
              </w:rPr>
              <w:fldChar w:fldCharType="end"/>
            </w:r>
          </w:hyperlink>
        </w:p>
        <w:p w14:paraId="3310235C" w14:textId="687E6963" w:rsidR="00580D90" w:rsidRDefault="002C0F57">
          <w:pPr>
            <w:pStyle w:val="TOC1"/>
            <w:tabs>
              <w:tab w:val="left" w:pos="440"/>
              <w:tab w:val="right" w:leader="dot" w:pos="9060"/>
            </w:tabs>
            <w:rPr>
              <w:rFonts w:eastAsiaTheme="minorEastAsia"/>
              <w:noProof/>
              <w:lang w:eastAsia="sv-SE"/>
            </w:rPr>
          </w:pPr>
          <w:hyperlink w:anchor="_Toc135039231" w:history="1">
            <w:r w:rsidR="00580D90" w:rsidRPr="009C1F94">
              <w:rPr>
                <w:rStyle w:val="Hyperlink"/>
                <w:noProof/>
                <w:lang w:val="en-GB"/>
              </w:rPr>
              <w:t>3.</w:t>
            </w:r>
            <w:r w:rsidR="00580D90">
              <w:rPr>
                <w:rFonts w:eastAsiaTheme="minorEastAsia"/>
                <w:noProof/>
                <w:lang w:eastAsia="sv-SE"/>
              </w:rPr>
              <w:tab/>
            </w:r>
            <w:r w:rsidR="00580D90" w:rsidRPr="009C1F94">
              <w:rPr>
                <w:rStyle w:val="Hyperlink"/>
                <w:noProof/>
                <w:lang w:val="en-GB"/>
              </w:rPr>
              <w:t>Follow up at hospital discharge</w:t>
            </w:r>
            <w:r w:rsidR="00580D90">
              <w:rPr>
                <w:noProof/>
                <w:webHidden/>
              </w:rPr>
              <w:tab/>
            </w:r>
            <w:r w:rsidR="00580D90">
              <w:rPr>
                <w:noProof/>
                <w:webHidden/>
              </w:rPr>
              <w:fldChar w:fldCharType="begin"/>
            </w:r>
            <w:r w:rsidR="00580D90">
              <w:rPr>
                <w:noProof/>
                <w:webHidden/>
              </w:rPr>
              <w:instrText xml:space="preserve"> PAGEREF _Toc135039231 \h </w:instrText>
            </w:r>
            <w:r w:rsidR="00580D90">
              <w:rPr>
                <w:noProof/>
                <w:webHidden/>
              </w:rPr>
            </w:r>
            <w:r w:rsidR="00580D90">
              <w:rPr>
                <w:noProof/>
                <w:webHidden/>
              </w:rPr>
              <w:fldChar w:fldCharType="separate"/>
            </w:r>
            <w:r w:rsidR="00580D90">
              <w:rPr>
                <w:noProof/>
                <w:webHidden/>
              </w:rPr>
              <w:t>3</w:t>
            </w:r>
            <w:r w:rsidR="00580D90">
              <w:rPr>
                <w:noProof/>
                <w:webHidden/>
              </w:rPr>
              <w:fldChar w:fldCharType="end"/>
            </w:r>
          </w:hyperlink>
        </w:p>
        <w:p w14:paraId="0D2958EA" w14:textId="2EFCFAEB" w:rsidR="00580D90" w:rsidRDefault="002C0F57">
          <w:pPr>
            <w:pStyle w:val="TOC1"/>
            <w:tabs>
              <w:tab w:val="left" w:pos="440"/>
              <w:tab w:val="right" w:leader="dot" w:pos="9060"/>
            </w:tabs>
            <w:rPr>
              <w:rFonts w:eastAsiaTheme="minorEastAsia"/>
              <w:noProof/>
              <w:lang w:eastAsia="sv-SE"/>
            </w:rPr>
          </w:pPr>
          <w:hyperlink w:anchor="_Toc135039232" w:history="1">
            <w:r w:rsidR="00580D90" w:rsidRPr="009C1F94">
              <w:rPr>
                <w:rStyle w:val="Hyperlink"/>
                <w:noProof/>
                <w:lang w:val="en-GB"/>
              </w:rPr>
              <w:t>4.</w:t>
            </w:r>
            <w:r w:rsidR="00580D90">
              <w:rPr>
                <w:rFonts w:eastAsiaTheme="minorEastAsia"/>
                <w:noProof/>
                <w:lang w:eastAsia="sv-SE"/>
              </w:rPr>
              <w:tab/>
            </w:r>
            <w:r w:rsidR="00580D90" w:rsidRPr="009C1F94">
              <w:rPr>
                <w:rStyle w:val="Hyperlink"/>
                <w:noProof/>
                <w:lang w:val="en-GB"/>
              </w:rPr>
              <w:t>Follow up at 90 days</w:t>
            </w:r>
            <w:r w:rsidR="00580D90">
              <w:rPr>
                <w:noProof/>
                <w:webHidden/>
              </w:rPr>
              <w:tab/>
            </w:r>
            <w:r w:rsidR="00580D90">
              <w:rPr>
                <w:noProof/>
                <w:webHidden/>
              </w:rPr>
              <w:fldChar w:fldCharType="begin"/>
            </w:r>
            <w:r w:rsidR="00580D90">
              <w:rPr>
                <w:noProof/>
                <w:webHidden/>
              </w:rPr>
              <w:instrText xml:space="preserve"> PAGEREF _Toc135039232 \h </w:instrText>
            </w:r>
            <w:r w:rsidR="00580D90">
              <w:rPr>
                <w:noProof/>
                <w:webHidden/>
              </w:rPr>
            </w:r>
            <w:r w:rsidR="00580D90">
              <w:rPr>
                <w:noProof/>
                <w:webHidden/>
              </w:rPr>
              <w:fldChar w:fldCharType="separate"/>
            </w:r>
            <w:r w:rsidR="00580D90">
              <w:rPr>
                <w:noProof/>
                <w:webHidden/>
              </w:rPr>
              <w:t>3</w:t>
            </w:r>
            <w:r w:rsidR="00580D90">
              <w:rPr>
                <w:noProof/>
                <w:webHidden/>
              </w:rPr>
              <w:fldChar w:fldCharType="end"/>
            </w:r>
          </w:hyperlink>
        </w:p>
        <w:p w14:paraId="0644D058" w14:textId="508336B4" w:rsidR="00580D90" w:rsidRDefault="002C0F57">
          <w:pPr>
            <w:pStyle w:val="TOC1"/>
            <w:tabs>
              <w:tab w:val="left" w:pos="440"/>
              <w:tab w:val="right" w:leader="dot" w:pos="9060"/>
            </w:tabs>
            <w:rPr>
              <w:rFonts w:eastAsiaTheme="minorEastAsia"/>
              <w:noProof/>
              <w:lang w:eastAsia="sv-SE"/>
            </w:rPr>
          </w:pPr>
          <w:hyperlink w:anchor="_Toc135039233" w:history="1">
            <w:r w:rsidR="00580D90" w:rsidRPr="009C1F94">
              <w:rPr>
                <w:rStyle w:val="Hyperlink"/>
                <w:noProof/>
                <w:lang w:val="en-GB"/>
              </w:rPr>
              <w:t>5.</w:t>
            </w:r>
            <w:r w:rsidR="00580D90">
              <w:rPr>
                <w:rFonts w:eastAsiaTheme="minorEastAsia"/>
                <w:noProof/>
                <w:lang w:eastAsia="sv-SE"/>
              </w:rPr>
              <w:tab/>
            </w:r>
            <w:r w:rsidR="00580D90" w:rsidRPr="009C1F94">
              <w:rPr>
                <w:rStyle w:val="Hyperlink"/>
                <w:noProof/>
                <w:lang w:val="en-GB"/>
              </w:rPr>
              <w:t>Follow up at 1 year</w:t>
            </w:r>
            <w:r w:rsidR="00580D90">
              <w:rPr>
                <w:noProof/>
                <w:webHidden/>
              </w:rPr>
              <w:tab/>
            </w:r>
            <w:r w:rsidR="00580D90">
              <w:rPr>
                <w:noProof/>
                <w:webHidden/>
              </w:rPr>
              <w:fldChar w:fldCharType="begin"/>
            </w:r>
            <w:r w:rsidR="00580D90">
              <w:rPr>
                <w:noProof/>
                <w:webHidden/>
              </w:rPr>
              <w:instrText xml:space="preserve"> PAGEREF _Toc135039233 \h </w:instrText>
            </w:r>
            <w:r w:rsidR="00580D90">
              <w:rPr>
                <w:noProof/>
                <w:webHidden/>
              </w:rPr>
            </w:r>
            <w:r w:rsidR="00580D90">
              <w:rPr>
                <w:noProof/>
                <w:webHidden/>
              </w:rPr>
              <w:fldChar w:fldCharType="separate"/>
            </w:r>
            <w:r w:rsidR="00580D90">
              <w:rPr>
                <w:noProof/>
                <w:webHidden/>
              </w:rPr>
              <w:t>4</w:t>
            </w:r>
            <w:r w:rsidR="00580D90">
              <w:rPr>
                <w:noProof/>
                <w:webHidden/>
              </w:rPr>
              <w:fldChar w:fldCharType="end"/>
            </w:r>
          </w:hyperlink>
        </w:p>
        <w:p w14:paraId="18F97073" w14:textId="6D4D7658" w:rsidR="00580D90" w:rsidRDefault="002C0F57">
          <w:pPr>
            <w:pStyle w:val="TOC1"/>
            <w:tabs>
              <w:tab w:val="left" w:pos="440"/>
              <w:tab w:val="right" w:leader="dot" w:pos="9060"/>
            </w:tabs>
            <w:rPr>
              <w:rFonts w:eastAsiaTheme="minorEastAsia"/>
              <w:noProof/>
              <w:lang w:eastAsia="sv-SE"/>
            </w:rPr>
          </w:pPr>
          <w:hyperlink w:anchor="_Toc135039234" w:history="1">
            <w:r w:rsidR="00580D90" w:rsidRPr="009C1F94">
              <w:rPr>
                <w:rStyle w:val="Hyperlink"/>
                <w:noProof/>
                <w:lang w:val="en-GB"/>
              </w:rPr>
              <w:t>6.</w:t>
            </w:r>
            <w:r w:rsidR="00580D90">
              <w:rPr>
                <w:rFonts w:eastAsiaTheme="minorEastAsia"/>
                <w:noProof/>
                <w:lang w:eastAsia="sv-SE"/>
              </w:rPr>
              <w:tab/>
            </w:r>
            <w:r w:rsidR="00580D90" w:rsidRPr="009C1F94">
              <w:rPr>
                <w:rStyle w:val="Hyperlink"/>
                <w:noProof/>
                <w:lang w:val="en-GB"/>
              </w:rPr>
              <w:t>Modified Rankin Scale (mRS)</w:t>
            </w:r>
            <w:r w:rsidR="00580D90">
              <w:rPr>
                <w:noProof/>
                <w:webHidden/>
              </w:rPr>
              <w:tab/>
            </w:r>
            <w:r w:rsidR="00580D90">
              <w:rPr>
                <w:noProof/>
                <w:webHidden/>
              </w:rPr>
              <w:fldChar w:fldCharType="begin"/>
            </w:r>
            <w:r w:rsidR="00580D90">
              <w:rPr>
                <w:noProof/>
                <w:webHidden/>
              </w:rPr>
              <w:instrText xml:space="preserve"> PAGEREF _Toc135039234 \h </w:instrText>
            </w:r>
            <w:r w:rsidR="00580D90">
              <w:rPr>
                <w:noProof/>
                <w:webHidden/>
              </w:rPr>
            </w:r>
            <w:r w:rsidR="00580D90">
              <w:rPr>
                <w:noProof/>
                <w:webHidden/>
              </w:rPr>
              <w:fldChar w:fldCharType="separate"/>
            </w:r>
            <w:r w:rsidR="00580D90">
              <w:rPr>
                <w:noProof/>
                <w:webHidden/>
              </w:rPr>
              <w:t>4</w:t>
            </w:r>
            <w:r w:rsidR="00580D90">
              <w:rPr>
                <w:noProof/>
                <w:webHidden/>
              </w:rPr>
              <w:fldChar w:fldCharType="end"/>
            </w:r>
          </w:hyperlink>
        </w:p>
        <w:p w14:paraId="345BB343" w14:textId="6FA39BF1" w:rsidR="00580D90" w:rsidRDefault="002C0F57">
          <w:pPr>
            <w:pStyle w:val="TOC2"/>
            <w:tabs>
              <w:tab w:val="right" w:leader="dot" w:pos="9060"/>
            </w:tabs>
            <w:rPr>
              <w:rFonts w:eastAsiaTheme="minorEastAsia"/>
              <w:noProof/>
              <w:lang w:eastAsia="sv-SE"/>
            </w:rPr>
          </w:pPr>
          <w:hyperlink w:anchor="_Toc135039235" w:history="1">
            <w:r w:rsidR="00580D90" w:rsidRPr="009C1F94">
              <w:rPr>
                <w:rStyle w:val="Hyperlink"/>
                <w:noProof/>
                <w:lang w:val="en-GB"/>
              </w:rPr>
              <w:t>6.1 Structured interview and scoring</w:t>
            </w:r>
            <w:r w:rsidR="00580D90">
              <w:rPr>
                <w:noProof/>
                <w:webHidden/>
              </w:rPr>
              <w:tab/>
            </w:r>
            <w:r w:rsidR="00580D90">
              <w:rPr>
                <w:noProof/>
                <w:webHidden/>
              </w:rPr>
              <w:fldChar w:fldCharType="begin"/>
            </w:r>
            <w:r w:rsidR="00580D90">
              <w:rPr>
                <w:noProof/>
                <w:webHidden/>
              </w:rPr>
              <w:instrText xml:space="preserve"> PAGEREF _Toc135039235 \h </w:instrText>
            </w:r>
            <w:r w:rsidR="00580D90">
              <w:rPr>
                <w:noProof/>
                <w:webHidden/>
              </w:rPr>
            </w:r>
            <w:r w:rsidR="00580D90">
              <w:rPr>
                <w:noProof/>
                <w:webHidden/>
              </w:rPr>
              <w:fldChar w:fldCharType="separate"/>
            </w:r>
            <w:r w:rsidR="00580D90">
              <w:rPr>
                <w:noProof/>
                <w:webHidden/>
              </w:rPr>
              <w:t>5</w:t>
            </w:r>
            <w:r w:rsidR="00580D90">
              <w:rPr>
                <w:noProof/>
                <w:webHidden/>
              </w:rPr>
              <w:fldChar w:fldCharType="end"/>
            </w:r>
          </w:hyperlink>
        </w:p>
        <w:p w14:paraId="3CF8CFC1" w14:textId="25701598" w:rsidR="00580D90" w:rsidRDefault="002C0F57">
          <w:pPr>
            <w:pStyle w:val="TOC1"/>
            <w:tabs>
              <w:tab w:val="left" w:pos="440"/>
              <w:tab w:val="right" w:leader="dot" w:pos="9060"/>
            </w:tabs>
            <w:rPr>
              <w:rFonts w:eastAsiaTheme="minorEastAsia"/>
              <w:noProof/>
              <w:lang w:eastAsia="sv-SE"/>
            </w:rPr>
          </w:pPr>
          <w:hyperlink w:anchor="_Toc135039236" w:history="1">
            <w:r w:rsidR="00580D90" w:rsidRPr="009C1F94">
              <w:rPr>
                <w:rStyle w:val="Hyperlink"/>
                <w:noProof/>
                <w:lang w:val="en-GB"/>
              </w:rPr>
              <w:t>7.</w:t>
            </w:r>
            <w:r w:rsidR="00580D90">
              <w:rPr>
                <w:rFonts w:eastAsiaTheme="minorEastAsia"/>
                <w:noProof/>
                <w:lang w:eastAsia="sv-SE"/>
              </w:rPr>
              <w:tab/>
            </w:r>
            <w:r w:rsidR="00580D90" w:rsidRPr="009C1F94">
              <w:rPr>
                <w:rStyle w:val="Hyperlink"/>
                <w:noProof/>
                <w:lang w:val="en-GB"/>
              </w:rPr>
              <w:t>Cerebral Performance Category Scale (CPC scale)</w:t>
            </w:r>
            <w:r w:rsidR="00580D90">
              <w:rPr>
                <w:noProof/>
                <w:webHidden/>
              </w:rPr>
              <w:tab/>
            </w:r>
            <w:r w:rsidR="00580D90">
              <w:rPr>
                <w:noProof/>
                <w:webHidden/>
              </w:rPr>
              <w:fldChar w:fldCharType="begin"/>
            </w:r>
            <w:r w:rsidR="00580D90">
              <w:rPr>
                <w:noProof/>
                <w:webHidden/>
              </w:rPr>
              <w:instrText xml:space="preserve"> PAGEREF _Toc135039236 \h </w:instrText>
            </w:r>
            <w:r w:rsidR="00580D90">
              <w:rPr>
                <w:noProof/>
                <w:webHidden/>
              </w:rPr>
            </w:r>
            <w:r w:rsidR="00580D90">
              <w:rPr>
                <w:noProof/>
                <w:webHidden/>
              </w:rPr>
              <w:fldChar w:fldCharType="separate"/>
            </w:r>
            <w:r w:rsidR="00580D90">
              <w:rPr>
                <w:noProof/>
                <w:webHidden/>
              </w:rPr>
              <w:t>5</w:t>
            </w:r>
            <w:r w:rsidR="00580D90">
              <w:rPr>
                <w:noProof/>
                <w:webHidden/>
              </w:rPr>
              <w:fldChar w:fldCharType="end"/>
            </w:r>
          </w:hyperlink>
        </w:p>
        <w:p w14:paraId="304704B8" w14:textId="28B359AF" w:rsidR="00580D90" w:rsidRDefault="002C0F57">
          <w:pPr>
            <w:pStyle w:val="TOC1"/>
            <w:tabs>
              <w:tab w:val="left" w:pos="440"/>
              <w:tab w:val="right" w:leader="dot" w:pos="9060"/>
            </w:tabs>
            <w:rPr>
              <w:rFonts w:eastAsiaTheme="minorEastAsia"/>
              <w:noProof/>
              <w:lang w:eastAsia="sv-SE"/>
            </w:rPr>
          </w:pPr>
          <w:hyperlink w:anchor="_Toc135039237" w:history="1">
            <w:r w:rsidR="00580D90" w:rsidRPr="009C1F94">
              <w:rPr>
                <w:rStyle w:val="Hyperlink"/>
                <w:noProof/>
                <w:lang w:val="en-GB"/>
              </w:rPr>
              <w:t>8.</w:t>
            </w:r>
            <w:r w:rsidR="00580D90">
              <w:rPr>
                <w:rFonts w:eastAsiaTheme="minorEastAsia"/>
                <w:noProof/>
                <w:lang w:eastAsia="sv-SE"/>
              </w:rPr>
              <w:tab/>
            </w:r>
            <w:r w:rsidR="00580D90" w:rsidRPr="009C1F94">
              <w:rPr>
                <w:rStyle w:val="Hyperlink"/>
                <w:noProof/>
                <w:lang w:val="en-GB"/>
              </w:rPr>
              <w:t>The EuroQol Health Survey 5 Dimensions, The 5 Levels Response Version (EQ-5D-5L)</w:t>
            </w:r>
            <w:r w:rsidR="00580D90">
              <w:rPr>
                <w:noProof/>
                <w:webHidden/>
              </w:rPr>
              <w:tab/>
            </w:r>
            <w:r w:rsidR="00580D90">
              <w:rPr>
                <w:noProof/>
                <w:webHidden/>
              </w:rPr>
              <w:fldChar w:fldCharType="begin"/>
            </w:r>
            <w:r w:rsidR="00580D90">
              <w:rPr>
                <w:noProof/>
                <w:webHidden/>
              </w:rPr>
              <w:instrText xml:space="preserve"> PAGEREF _Toc135039237 \h </w:instrText>
            </w:r>
            <w:r w:rsidR="00580D90">
              <w:rPr>
                <w:noProof/>
                <w:webHidden/>
              </w:rPr>
            </w:r>
            <w:r w:rsidR="00580D90">
              <w:rPr>
                <w:noProof/>
                <w:webHidden/>
              </w:rPr>
              <w:fldChar w:fldCharType="separate"/>
            </w:r>
            <w:r w:rsidR="00580D90">
              <w:rPr>
                <w:noProof/>
                <w:webHidden/>
              </w:rPr>
              <w:t>6</w:t>
            </w:r>
            <w:r w:rsidR="00580D90">
              <w:rPr>
                <w:noProof/>
                <w:webHidden/>
              </w:rPr>
              <w:fldChar w:fldCharType="end"/>
            </w:r>
          </w:hyperlink>
        </w:p>
        <w:p w14:paraId="685B4FC6" w14:textId="2F8CC602" w:rsidR="0030323A" w:rsidRDefault="0030323A" w:rsidP="00D32A54">
          <w:pPr>
            <w:spacing w:after="120"/>
          </w:pPr>
          <w:r>
            <w:rPr>
              <w:b/>
              <w:bCs/>
              <w:noProof/>
            </w:rPr>
            <w:fldChar w:fldCharType="end"/>
          </w:r>
        </w:p>
      </w:sdtContent>
    </w:sdt>
    <w:p w14:paraId="6C94B9AE" w14:textId="7DFA1669" w:rsidR="00703919" w:rsidRDefault="00703919">
      <w:pPr>
        <w:rPr>
          <w:lang w:val="en-GB"/>
        </w:rPr>
      </w:pPr>
      <w:r>
        <w:rPr>
          <w:lang w:val="en-GB"/>
        </w:rPr>
        <w:br w:type="page"/>
      </w:r>
    </w:p>
    <w:p w14:paraId="568FFB0D" w14:textId="3A1429ED" w:rsidR="0030323A" w:rsidRDefault="00703919" w:rsidP="00ED615B">
      <w:pPr>
        <w:pStyle w:val="Heading1"/>
        <w:numPr>
          <w:ilvl w:val="0"/>
          <w:numId w:val="1"/>
        </w:numPr>
        <w:spacing w:after="120"/>
        <w:ind w:left="283" w:hanging="357"/>
        <w:jc w:val="both"/>
        <w:rPr>
          <w:lang w:val="en-GB"/>
        </w:rPr>
      </w:pPr>
      <w:bookmarkStart w:id="0" w:name="_Toc135039229"/>
      <w:r>
        <w:rPr>
          <w:lang w:val="en-GB"/>
        </w:rPr>
        <w:lastRenderedPageBreak/>
        <w:t>Introduction</w:t>
      </w:r>
      <w:bookmarkEnd w:id="0"/>
    </w:p>
    <w:p w14:paraId="00BFB635" w14:textId="45FF622B" w:rsidR="001B457B" w:rsidRPr="00422226" w:rsidRDefault="001B457B" w:rsidP="00ED615B">
      <w:pPr>
        <w:jc w:val="both"/>
        <w:rPr>
          <w:lang w:val="en-GB"/>
        </w:rPr>
      </w:pPr>
      <w:r>
        <w:rPr>
          <w:lang w:val="en-GB"/>
        </w:rPr>
        <w:t xml:space="preserve">The primary outcome of the PRINCESS2 trial is </w:t>
      </w:r>
      <w:r w:rsidRPr="001B457B">
        <w:rPr>
          <w:i/>
          <w:iCs/>
          <w:lang w:val="en-GB"/>
        </w:rPr>
        <w:t>survival with complete neurologic recovery at 90 days, defined as modified Rankin scale (mRs) of 0-1</w:t>
      </w:r>
      <w:r>
        <w:rPr>
          <w:i/>
          <w:iCs/>
          <w:lang w:val="en-GB"/>
        </w:rPr>
        <w:t>.</w:t>
      </w:r>
      <w:r w:rsidR="00422226">
        <w:rPr>
          <w:i/>
          <w:iCs/>
          <w:lang w:val="en-GB"/>
        </w:rPr>
        <w:t xml:space="preserve"> </w:t>
      </w:r>
      <w:r w:rsidR="003B18AA">
        <w:rPr>
          <w:lang w:val="en-GB"/>
        </w:rPr>
        <w:t>Several</w:t>
      </w:r>
      <w:r w:rsidR="00C91606">
        <w:rPr>
          <w:lang w:val="en-GB"/>
        </w:rPr>
        <w:t xml:space="preserve"> of the </w:t>
      </w:r>
      <w:r w:rsidR="003B18AA">
        <w:rPr>
          <w:lang w:val="en-GB"/>
        </w:rPr>
        <w:t xml:space="preserve">secondary endpoints also </w:t>
      </w:r>
      <w:r w:rsidR="00C91606">
        <w:rPr>
          <w:lang w:val="en-GB"/>
        </w:rPr>
        <w:t xml:space="preserve">evaluates neurologic recovery at different time points. </w:t>
      </w:r>
      <w:r w:rsidR="00422226">
        <w:rPr>
          <w:lang w:val="en-GB"/>
        </w:rPr>
        <w:t>An adequate follow up by blinded assessor is therefore of great importance for the validity of the trial.</w:t>
      </w:r>
    </w:p>
    <w:p w14:paraId="09DDEA38" w14:textId="77777777" w:rsidR="00C91606" w:rsidRDefault="00422226" w:rsidP="00ED615B">
      <w:pPr>
        <w:jc w:val="both"/>
        <w:rPr>
          <w:lang w:val="en-GB"/>
        </w:rPr>
      </w:pPr>
      <w:r>
        <w:rPr>
          <w:lang w:val="en-GB"/>
        </w:rPr>
        <w:t xml:space="preserve">Outcome will be assessed at hospital discharge and at 90 days and 1 year from randomization. For further information on each assessment, see below. </w:t>
      </w:r>
    </w:p>
    <w:p w14:paraId="5337E650" w14:textId="2CA6588C" w:rsidR="001B457B" w:rsidRDefault="00C91606" w:rsidP="00ED615B">
      <w:pPr>
        <w:jc w:val="both"/>
        <w:rPr>
          <w:lang w:val="en-GB"/>
        </w:rPr>
      </w:pPr>
      <w:r>
        <w:rPr>
          <w:lang w:val="en-GB"/>
        </w:rPr>
        <w:t>Monitoring and data quality controls will be performed during the study</w:t>
      </w:r>
      <w:r w:rsidR="009C6AB3">
        <w:rPr>
          <w:lang w:val="en-GB"/>
        </w:rPr>
        <w:t>.</w:t>
      </w:r>
    </w:p>
    <w:p w14:paraId="0FC8E47D" w14:textId="483621A2" w:rsidR="00474FC0" w:rsidRDefault="008B68E1" w:rsidP="00ED615B">
      <w:pPr>
        <w:pStyle w:val="Heading1"/>
        <w:numPr>
          <w:ilvl w:val="0"/>
          <w:numId w:val="1"/>
        </w:numPr>
        <w:spacing w:after="120"/>
        <w:ind w:left="284" w:hanging="358"/>
        <w:jc w:val="both"/>
        <w:rPr>
          <w:lang w:val="en-GB"/>
        </w:rPr>
      </w:pPr>
      <w:bookmarkStart w:id="1" w:name="_Toc135039230"/>
      <w:r>
        <w:rPr>
          <w:lang w:val="en-GB"/>
        </w:rPr>
        <w:t>The blinded outcome assessor</w:t>
      </w:r>
      <w:bookmarkEnd w:id="1"/>
    </w:p>
    <w:p w14:paraId="56E11403" w14:textId="0318CDE4" w:rsidR="00422226" w:rsidRDefault="00ED07CF" w:rsidP="00ED615B">
      <w:pPr>
        <w:jc w:val="both"/>
        <w:rPr>
          <w:lang w:val="en-GB"/>
        </w:rPr>
      </w:pPr>
      <w:r>
        <w:rPr>
          <w:lang w:val="en-GB"/>
        </w:rPr>
        <w:t xml:space="preserve">The outcome assessor performing the follow-up in the PRINCESS2 trial must be </w:t>
      </w:r>
      <w:r w:rsidRPr="008B68E1">
        <w:rPr>
          <w:b/>
          <w:bCs/>
          <w:i/>
          <w:iCs/>
          <w:lang w:val="en-GB"/>
        </w:rPr>
        <w:t>completely blinded</w:t>
      </w:r>
      <w:r>
        <w:rPr>
          <w:lang w:val="en-GB"/>
        </w:rPr>
        <w:t xml:space="preserve"> for group allocation. The outcome assessor </w:t>
      </w:r>
      <w:r w:rsidRPr="00ED07CF">
        <w:rPr>
          <w:lang w:val="en-GB"/>
        </w:rPr>
        <w:t>may be an occupational therapist, physician, research nurse, psychologist or similar</w:t>
      </w:r>
      <w:r>
        <w:rPr>
          <w:lang w:val="en-GB"/>
        </w:rPr>
        <w:t xml:space="preserve">. The number of outcome assessors at every site should be kept to a minimum, </w:t>
      </w:r>
      <w:proofErr w:type="gramStart"/>
      <w:r>
        <w:rPr>
          <w:lang w:val="en-GB"/>
        </w:rPr>
        <w:t>e.g.</w:t>
      </w:r>
      <w:proofErr w:type="gramEnd"/>
      <w:r>
        <w:rPr>
          <w:lang w:val="en-GB"/>
        </w:rPr>
        <w:t xml:space="preserve"> 1-2 per site. All outcome assessors should be aware of the importance of their role in collecting high quality unbiased data. All outcome </w:t>
      </w:r>
      <w:r w:rsidR="00165AEB">
        <w:rPr>
          <w:lang w:val="en-GB"/>
        </w:rPr>
        <w:t>assessors</w:t>
      </w:r>
      <w:r>
        <w:rPr>
          <w:lang w:val="en-GB"/>
        </w:rPr>
        <w:t xml:space="preserve"> should also study this follow-up manual carefully.</w:t>
      </w:r>
    </w:p>
    <w:p w14:paraId="2D0A87BD" w14:textId="5B3F7410" w:rsidR="0030323A" w:rsidRDefault="0030323A" w:rsidP="00ED615B">
      <w:pPr>
        <w:pStyle w:val="Heading1"/>
        <w:numPr>
          <w:ilvl w:val="0"/>
          <w:numId w:val="1"/>
        </w:numPr>
        <w:spacing w:after="120"/>
        <w:ind w:left="283" w:hanging="357"/>
        <w:jc w:val="both"/>
        <w:rPr>
          <w:lang w:val="en-GB"/>
        </w:rPr>
      </w:pPr>
      <w:bookmarkStart w:id="2" w:name="_Toc135039231"/>
      <w:bookmarkStart w:id="3" w:name="_Hlk134701258"/>
      <w:r>
        <w:rPr>
          <w:lang w:val="en-GB"/>
        </w:rPr>
        <w:t xml:space="preserve">Follow up at hospital </w:t>
      </w:r>
      <w:proofErr w:type="gramStart"/>
      <w:r>
        <w:rPr>
          <w:lang w:val="en-GB"/>
        </w:rPr>
        <w:t>discharge</w:t>
      </w:r>
      <w:bookmarkEnd w:id="2"/>
      <w:proofErr w:type="gramEnd"/>
    </w:p>
    <w:bookmarkEnd w:id="3"/>
    <w:p w14:paraId="219BA0E5" w14:textId="6058DC5F" w:rsidR="00ED07CF" w:rsidRPr="00ED07CF" w:rsidRDefault="00ED07CF" w:rsidP="00ED615B">
      <w:pPr>
        <w:jc w:val="both"/>
        <w:rPr>
          <w:lang w:val="en-GB"/>
        </w:rPr>
      </w:pPr>
      <w:commentRangeStart w:id="4"/>
      <w:r>
        <w:rPr>
          <w:lang w:val="en-GB"/>
        </w:rPr>
        <w:t>At hospital discharge</w:t>
      </w:r>
      <w:r w:rsidR="00D437A2">
        <w:rPr>
          <w:lang w:val="en-GB"/>
        </w:rPr>
        <w:t xml:space="preserve"> the patient should be assessed according to the mRs-scale. This is preferably done by a face-to-face visit with the patient but can also be done by collecting medical records from the last days at hospital.</w:t>
      </w:r>
      <w:commentRangeEnd w:id="4"/>
      <w:r w:rsidR="00D437A2">
        <w:rPr>
          <w:rStyle w:val="CommentReference"/>
        </w:rPr>
        <w:commentReference w:id="4"/>
      </w:r>
    </w:p>
    <w:p w14:paraId="17BB18BD" w14:textId="01113BC9" w:rsidR="00703919" w:rsidRDefault="00703919" w:rsidP="00ED615B">
      <w:pPr>
        <w:pStyle w:val="Heading1"/>
        <w:numPr>
          <w:ilvl w:val="0"/>
          <w:numId w:val="1"/>
        </w:numPr>
        <w:spacing w:after="120"/>
        <w:ind w:left="283" w:hanging="357"/>
        <w:jc w:val="both"/>
        <w:rPr>
          <w:lang w:val="en-GB"/>
        </w:rPr>
      </w:pPr>
      <w:bookmarkStart w:id="5" w:name="_Toc135039232"/>
      <w:r>
        <w:rPr>
          <w:lang w:val="en-GB"/>
        </w:rPr>
        <w:t xml:space="preserve">Follow up </w:t>
      </w:r>
      <w:r w:rsidR="0030323A">
        <w:rPr>
          <w:lang w:val="en-GB"/>
        </w:rPr>
        <w:t xml:space="preserve">at 90 </w:t>
      </w:r>
      <w:proofErr w:type="gramStart"/>
      <w:r w:rsidR="0030323A">
        <w:rPr>
          <w:lang w:val="en-GB"/>
        </w:rPr>
        <w:t>days</w:t>
      </w:r>
      <w:bookmarkEnd w:id="5"/>
      <w:proofErr w:type="gramEnd"/>
    </w:p>
    <w:p w14:paraId="21F6D1A8" w14:textId="45BA6BA9" w:rsidR="00D437A2" w:rsidRPr="00D437A2" w:rsidRDefault="00D437A2" w:rsidP="00ED615B">
      <w:pPr>
        <w:jc w:val="both"/>
        <w:rPr>
          <w:lang w:val="en-GB"/>
        </w:rPr>
      </w:pPr>
      <w:r>
        <w:rPr>
          <w:b/>
          <w:bCs/>
          <w:lang w:val="en-GB"/>
        </w:rPr>
        <w:t>Timing</w:t>
      </w:r>
      <w:r w:rsidR="0086606B">
        <w:rPr>
          <w:b/>
          <w:bCs/>
          <w:lang w:val="en-GB"/>
        </w:rPr>
        <w:t xml:space="preserve">: </w:t>
      </w:r>
      <w:r>
        <w:rPr>
          <w:lang w:val="en-GB"/>
        </w:rPr>
        <w:t>The 90-day follow should take place at the earliest 90 days from randomization, and as close as possible to 90 days.</w:t>
      </w:r>
    </w:p>
    <w:p w14:paraId="5CB9E7B5" w14:textId="03B5887B" w:rsidR="00D437A2" w:rsidRDefault="00D437A2" w:rsidP="00ED615B">
      <w:pPr>
        <w:jc w:val="both"/>
        <w:rPr>
          <w:lang w:val="en-GB"/>
        </w:rPr>
      </w:pPr>
      <w:r w:rsidRPr="00D437A2">
        <w:rPr>
          <w:b/>
          <w:bCs/>
          <w:lang w:val="en-GB"/>
        </w:rPr>
        <w:t xml:space="preserve">Setting: </w:t>
      </w:r>
      <w:r>
        <w:rPr>
          <w:lang w:val="en-GB"/>
        </w:rPr>
        <w:t>The 90-day follow-up will preferably take place face-to face. The patient will be invited to a clinic visit. For patients unable to attend the clinical visit, a telephone follow-up can be performed.</w:t>
      </w:r>
    </w:p>
    <w:p w14:paraId="7A8F21E0" w14:textId="56168752" w:rsidR="00D437A2" w:rsidRDefault="009F09EF" w:rsidP="00ED615B">
      <w:pPr>
        <w:jc w:val="both"/>
        <w:rPr>
          <w:lang w:val="en-GB"/>
        </w:rPr>
      </w:pPr>
      <w:r>
        <w:rPr>
          <w:b/>
          <w:bCs/>
          <w:lang w:val="en-GB"/>
        </w:rPr>
        <w:t xml:space="preserve">Patient invitation: </w:t>
      </w:r>
      <w:r>
        <w:rPr>
          <w:lang w:val="en-GB"/>
        </w:rPr>
        <w:t>An invitation should be sent 2-4 weeks ahead of the visit (by written letter or a telephone call). In this invitation, the following should be clearly stated:</w:t>
      </w:r>
    </w:p>
    <w:p w14:paraId="217797CB" w14:textId="62A7D701" w:rsidR="009F09EF" w:rsidRDefault="009F09EF" w:rsidP="00ED615B">
      <w:pPr>
        <w:pStyle w:val="ListParagraph"/>
        <w:numPr>
          <w:ilvl w:val="0"/>
          <w:numId w:val="2"/>
        </w:numPr>
        <w:jc w:val="both"/>
        <w:rPr>
          <w:lang w:val="en-GB"/>
        </w:rPr>
      </w:pPr>
      <w:r>
        <w:rPr>
          <w:lang w:val="en-GB"/>
        </w:rPr>
        <w:t xml:space="preserve">That the outcome assessor </w:t>
      </w:r>
      <w:r w:rsidRPr="0086606B">
        <w:rPr>
          <w:i/>
          <w:iCs/>
          <w:lang w:val="en-GB"/>
        </w:rPr>
        <w:t>has no knowledge of group allocation</w:t>
      </w:r>
      <w:r>
        <w:rPr>
          <w:lang w:val="en-GB"/>
        </w:rPr>
        <w:t xml:space="preserve"> (whether the patient belongs to the intervention group or control group) and that this should not be discussed at any time during the visit</w:t>
      </w:r>
    </w:p>
    <w:p w14:paraId="0D84F8E6" w14:textId="725C0FA4" w:rsidR="009F09EF" w:rsidRDefault="009F09EF" w:rsidP="00ED615B">
      <w:pPr>
        <w:pStyle w:val="ListParagraph"/>
        <w:numPr>
          <w:ilvl w:val="0"/>
          <w:numId w:val="2"/>
        </w:numPr>
        <w:jc w:val="both"/>
        <w:rPr>
          <w:lang w:val="en-GB"/>
        </w:rPr>
      </w:pPr>
      <w:r>
        <w:rPr>
          <w:lang w:val="en-GB"/>
        </w:rPr>
        <w:t>That the patient is strongly encouraged to bring a close relative or someone that knows them very well to the visit</w:t>
      </w:r>
    </w:p>
    <w:p w14:paraId="7D5CFFA4" w14:textId="76F71958" w:rsidR="009F09EF" w:rsidRDefault="009F09EF" w:rsidP="00ED615B">
      <w:pPr>
        <w:pStyle w:val="ListParagraph"/>
        <w:numPr>
          <w:ilvl w:val="0"/>
          <w:numId w:val="2"/>
        </w:numPr>
        <w:jc w:val="both"/>
        <w:rPr>
          <w:lang w:val="en-GB"/>
        </w:rPr>
      </w:pPr>
      <w:r>
        <w:rPr>
          <w:lang w:val="en-GB"/>
        </w:rPr>
        <w:t>That the patient should bring hearing or vision aids if applicable</w:t>
      </w:r>
    </w:p>
    <w:p w14:paraId="362D1225" w14:textId="02339296" w:rsidR="009F09EF" w:rsidRDefault="009F09EF" w:rsidP="00ED615B">
      <w:pPr>
        <w:jc w:val="both"/>
        <w:rPr>
          <w:lang w:val="en-GB"/>
        </w:rPr>
      </w:pPr>
      <w:r w:rsidRPr="009F09EF">
        <w:rPr>
          <w:b/>
          <w:bCs/>
          <w:lang w:val="en-GB"/>
        </w:rPr>
        <w:t>During the follow up meeting:</w:t>
      </w:r>
      <w:r w:rsidR="0086606B">
        <w:rPr>
          <w:b/>
          <w:bCs/>
          <w:lang w:val="en-GB"/>
        </w:rPr>
        <w:t xml:space="preserve"> </w:t>
      </w:r>
      <w:r w:rsidR="00006E9C" w:rsidRPr="00006E9C">
        <w:rPr>
          <w:lang w:val="en-GB"/>
        </w:rPr>
        <w:t>The steps</w:t>
      </w:r>
      <w:r w:rsidR="00006E9C">
        <w:rPr>
          <w:lang w:val="en-GB"/>
        </w:rPr>
        <w:t xml:space="preserve"> below should be followed:</w:t>
      </w:r>
    </w:p>
    <w:p w14:paraId="10AACA07" w14:textId="57CBB137" w:rsidR="00006E9C" w:rsidRDefault="00006E9C" w:rsidP="00ED615B">
      <w:pPr>
        <w:pStyle w:val="ListParagraph"/>
        <w:numPr>
          <w:ilvl w:val="0"/>
          <w:numId w:val="3"/>
        </w:numPr>
        <w:jc w:val="both"/>
        <w:rPr>
          <w:lang w:val="en-GB"/>
        </w:rPr>
      </w:pPr>
      <w:r>
        <w:rPr>
          <w:lang w:val="en-GB"/>
        </w:rPr>
        <w:t>Start by reminding the patient and their company that you are not allowed to have any information about the study intervention, and that they cannot reveal this to you during the follow-up visit.</w:t>
      </w:r>
    </w:p>
    <w:p w14:paraId="75C8DC34" w14:textId="7312DEE6" w:rsidR="00006E9C" w:rsidRDefault="00006E9C" w:rsidP="00ED615B">
      <w:pPr>
        <w:pStyle w:val="ListParagraph"/>
        <w:numPr>
          <w:ilvl w:val="0"/>
          <w:numId w:val="3"/>
        </w:numPr>
        <w:jc w:val="both"/>
        <w:rPr>
          <w:lang w:val="en-GB"/>
        </w:rPr>
      </w:pPr>
      <w:proofErr w:type="gramStart"/>
      <w:r>
        <w:rPr>
          <w:lang w:val="en-GB"/>
        </w:rPr>
        <w:lastRenderedPageBreak/>
        <w:t>Explain briefly</w:t>
      </w:r>
      <w:proofErr w:type="gramEnd"/>
      <w:r>
        <w:rPr>
          <w:lang w:val="en-GB"/>
        </w:rPr>
        <w:t xml:space="preserve"> the study and purpose of the follow-up and the tests. Explain that you will not be able to provide any information on results of the follow-up.</w:t>
      </w:r>
    </w:p>
    <w:p w14:paraId="6FE27791" w14:textId="0EF4E5FC" w:rsidR="00006E9C" w:rsidRDefault="0016746E" w:rsidP="00ED615B">
      <w:pPr>
        <w:pStyle w:val="ListParagraph"/>
        <w:numPr>
          <w:ilvl w:val="0"/>
          <w:numId w:val="3"/>
        </w:numPr>
        <w:jc w:val="both"/>
        <w:rPr>
          <w:lang w:val="en-GB"/>
        </w:rPr>
      </w:pPr>
      <w:r>
        <w:rPr>
          <w:lang w:val="en-GB"/>
        </w:rPr>
        <w:t>Perform the struct</w:t>
      </w:r>
      <w:r w:rsidR="00B84A96">
        <w:rPr>
          <w:lang w:val="en-GB"/>
        </w:rPr>
        <w:t>ured interview for the mRS</w:t>
      </w:r>
      <w:r w:rsidR="003634BC">
        <w:rPr>
          <w:lang w:val="en-GB"/>
        </w:rPr>
        <w:t xml:space="preserve"> scoring (se</w:t>
      </w:r>
      <w:r w:rsidR="00B966CA">
        <w:rPr>
          <w:lang w:val="en-GB"/>
        </w:rPr>
        <w:t>e</w:t>
      </w:r>
      <w:r w:rsidR="003634BC">
        <w:rPr>
          <w:lang w:val="en-GB"/>
        </w:rPr>
        <w:t xml:space="preserve"> section 6.1)</w:t>
      </w:r>
    </w:p>
    <w:p w14:paraId="083EA838" w14:textId="164E0430" w:rsidR="003634BC" w:rsidRDefault="002D3849" w:rsidP="00ED615B">
      <w:pPr>
        <w:pStyle w:val="ListParagraph"/>
        <w:numPr>
          <w:ilvl w:val="0"/>
          <w:numId w:val="3"/>
        </w:numPr>
        <w:jc w:val="both"/>
        <w:rPr>
          <w:lang w:val="en-GB"/>
        </w:rPr>
      </w:pPr>
      <w:r>
        <w:rPr>
          <w:lang w:val="en-GB"/>
        </w:rPr>
        <w:t xml:space="preserve">If you do not have enough information </w:t>
      </w:r>
      <w:r w:rsidR="007704E9">
        <w:rPr>
          <w:lang w:val="en-GB"/>
        </w:rPr>
        <w:t>to do a CPC-scoring, ask additional questions (se</w:t>
      </w:r>
      <w:r w:rsidR="00757755">
        <w:rPr>
          <w:lang w:val="en-GB"/>
        </w:rPr>
        <w:t>e</w:t>
      </w:r>
      <w:r w:rsidR="007704E9">
        <w:rPr>
          <w:lang w:val="en-GB"/>
        </w:rPr>
        <w:t xml:space="preserve"> section </w:t>
      </w:r>
      <w:r w:rsidR="00FB5020">
        <w:rPr>
          <w:lang w:val="en-GB"/>
        </w:rPr>
        <w:t>7).</w:t>
      </w:r>
    </w:p>
    <w:p w14:paraId="2A6F7990" w14:textId="7EE6CA1F" w:rsidR="00746740" w:rsidRDefault="00B966CA" w:rsidP="00ED615B">
      <w:pPr>
        <w:pStyle w:val="ListParagraph"/>
        <w:numPr>
          <w:ilvl w:val="0"/>
          <w:numId w:val="3"/>
        </w:numPr>
        <w:jc w:val="both"/>
        <w:rPr>
          <w:lang w:val="en-GB"/>
        </w:rPr>
      </w:pPr>
      <w:r>
        <w:rPr>
          <w:lang w:val="en-GB"/>
        </w:rPr>
        <w:t>Let the patient fill in the EQ-5D-5L questionnaire (se</w:t>
      </w:r>
      <w:r w:rsidR="00757755">
        <w:rPr>
          <w:lang w:val="en-GB"/>
        </w:rPr>
        <w:t>e section 8)</w:t>
      </w:r>
    </w:p>
    <w:p w14:paraId="28C2AE6C" w14:textId="0FFBD31C" w:rsidR="001C45E0" w:rsidRPr="001C45E0" w:rsidRDefault="001C45E0" w:rsidP="00ED615B">
      <w:pPr>
        <w:pStyle w:val="ListParagraph"/>
        <w:numPr>
          <w:ilvl w:val="0"/>
          <w:numId w:val="3"/>
        </w:numPr>
        <w:jc w:val="both"/>
        <w:rPr>
          <w:lang w:val="en-GB"/>
        </w:rPr>
      </w:pPr>
      <w:r w:rsidRPr="001C45E0">
        <w:rPr>
          <w:lang w:val="en-GB"/>
        </w:rPr>
        <w:t>You may now need to ask additional questions to complete the mRS and CPC scoring</w:t>
      </w:r>
      <w:r>
        <w:rPr>
          <w:lang w:val="en-GB"/>
        </w:rPr>
        <w:t xml:space="preserve"> </w:t>
      </w:r>
      <w:r w:rsidRPr="001C45E0">
        <w:rPr>
          <w:lang w:val="en-GB"/>
        </w:rPr>
        <w:t>based on your general expression of the patient’s outcome</w:t>
      </w:r>
      <w:r w:rsidR="00A86FE3">
        <w:rPr>
          <w:lang w:val="en-GB"/>
        </w:rPr>
        <w:t>.</w:t>
      </w:r>
    </w:p>
    <w:p w14:paraId="3885304E" w14:textId="40FC6B7A" w:rsidR="00746740" w:rsidRDefault="00746740" w:rsidP="00ED615B">
      <w:pPr>
        <w:pStyle w:val="ListParagraph"/>
        <w:numPr>
          <w:ilvl w:val="0"/>
          <w:numId w:val="3"/>
        </w:numPr>
        <w:jc w:val="both"/>
        <w:rPr>
          <w:lang w:val="en-GB"/>
        </w:rPr>
      </w:pPr>
      <w:commentRangeStart w:id="6"/>
      <w:r>
        <w:rPr>
          <w:lang w:val="en-GB"/>
        </w:rPr>
        <w:t>Inform the patient that they will be invited for a similar follow up at 12 months</w:t>
      </w:r>
      <w:commentRangeEnd w:id="6"/>
      <w:r>
        <w:rPr>
          <w:rStyle w:val="CommentReference"/>
        </w:rPr>
        <w:commentReference w:id="6"/>
      </w:r>
    </w:p>
    <w:p w14:paraId="3BD86038" w14:textId="0A0F77E5" w:rsidR="00746740" w:rsidRDefault="000A1CD1" w:rsidP="00ED615B">
      <w:pPr>
        <w:pStyle w:val="ListParagraph"/>
        <w:numPr>
          <w:ilvl w:val="0"/>
          <w:numId w:val="3"/>
        </w:numPr>
        <w:jc w:val="both"/>
        <w:rPr>
          <w:lang w:val="en-GB"/>
        </w:rPr>
      </w:pPr>
      <w:r>
        <w:rPr>
          <w:lang w:val="en-GB"/>
        </w:rPr>
        <w:t>Thank the patient and the person accompanying them</w:t>
      </w:r>
      <w:r w:rsidR="001E59BC">
        <w:rPr>
          <w:lang w:val="en-GB"/>
        </w:rPr>
        <w:t xml:space="preserve"> for their participation and </w:t>
      </w:r>
      <w:r w:rsidR="00527D37">
        <w:rPr>
          <w:lang w:val="en-GB"/>
        </w:rPr>
        <w:t>for their valuable contribution to the study.</w:t>
      </w:r>
    </w:p>
    <w:p w14:paraId="102E50A8" w14:textId="2E903535" w:rsidR="00527D37" w:rsidRPr="004406F6" w:rsidRDefault="003D6EE9" w:rsidP="00ED615B">
      <w:pPr>
        <w:jc w:val="both"/>
        <w:rPr>
          <w:b/>
          <w:bCs/>
          <w:lang w:val="en-GB"/>
        </w:rPr>
      </w:pPr>
      <w:r w:rsidRPr="004406F6">
        <w:rPr>
          <w:b/>
          <w:bCs/>
          <w:lang w:val="en-GB"/>
        </w:rPr>
        <w:t>After the follow-up meeting:</w:t>
      </w:r>
    </w:p>
    <w:p w14:paraId="18040153" w14:textId="00BD6F6F" w:rsidR="003D6EE9" w:rsidRDefault="003D6EE9" w:rsidP="00ED615B">
      <w:pPr>
        <w:pStyle w:val="ListParagraph"/>
        <w:numPr>
          <w:ilvl w:val="0"/>
          <w:numId w:val="7"/>
        </w:numPr>
        <w:jc w:val="both"/>
        <w:rPr>
          <w:lang w:val="en-GB"/>
        </w:rPr>
      </w:pPr>
      <w:r>
        <w:rPr>
          <w:lang w:val="en-GB"/>
        </w:rPr>
        <w:t xml:space="preserve">Complete the mRS and CPC </w:t>
      </w:r>
      <w:proofErr w:type="gramStart"/>
      <w:r>
        <w:rPr>
          <w:lang w:val="en-GB"/>
        </w:rPr>
        <w:t>scoring</w:t>
      </w:r>
      <w:proofErr w:type="gramEnd"/>
    </w:p>
    <w:p w14:paraId="061B7506" w14:textId="6DC6EFEC" w:rsidR="008B5B63" w:rsidRDefault="008B5B63" w:rsidP="00ED615B">
      <w:pPr>
        <w:pStyle w:val="ListParagraph"/>
        <w:numPr>
          <w:ilvl w:val="0"/>
          <w:numId w:val="7"/>
        </w:numPr>
        <w:jc w:val="both"/>
        <w:rPr>
          <w:lang w:val="en-GB"/>
        </w:rPr>
      </w:pPr>
      <w:r>
        <w:rPr>
          <w:lang w:val="en-GB"/>
        </w:rPr>
        <w:t xml:space="preserve">Transfer the results to the </w:t>
      </w:r>
      <w:r w:rsidR="004406F6">
        <w:rPr>
          <w:lang w:val="en-GB"/>
        </w:rPr>
        <w:t>e</w:t>
      </w:r>
      <w:r>
        <w:rPr>
          <w:lang w:val="en-GB"/>
        </w:rPr>
        <w:t xml:space="preserve">CRF </w:t>
      </w:r>
      <w:proofErr w:type="gramStart"/>
      <w:r>
        <w:rPr>
          <w:lang w:val="en-GB"/>
        </w:rPr>
        <w:t>as soon as possible</w:t>
      </w:r>
      <w:proofErr w:type="gramEnd"/>
    </w:p>
    <w:p w14:paraId="1052B572" w14:textId="3CEB1100" w:rsidR="00BC3795" w:rsidRDefault="001C1CEF" w:rsidP="00ED615B">
      <w:pPr>
        <w:pStyle w:val="ListParagraph"/>
        <w:numPr>
          <w:ilvl w:val="0"/>
          <w:numId w:val="7"/>
        </w:numPr>
        <w:jc w:val="both"/>
        <w:rPr>
          <w:lang w:val="en-GB"/>
        </w:rPr>
      </w:pPr>
      <w:r>
        <w:rPr>
          <w:lang w:val="en-GB"/>
        </w:rPr>
        <w:t>Tra</w:t>
      </w:r>
      <w:r w:rsidR="0003390C">
        <w:rPr>
          <w:lang w:val="en-GB"/>
        </w:rPr>
        <w:t xml:space="preserve">nsfer the results from the EQ5D-5L to the CRF </w:t>
      </w:r>
      <w:proofErr w:type="gramStart"/>
      <w:r w:rsidR="0003390C">
        <w:rPr>
          <w:lang w:val="en-GB"/>
        </w:rPr>
        <w:t>as soon as possible</w:t>
      </w:r>
      <w:proofErr w:type="gramEnd"/>
    </w:p>
    <w:p w14:paraId="03702F55" w14:textId="03EF1238" w:rsidR="00736B9A" w:rsidRPr="003D6EE9" w:rsidRDefault="00736B9A" w:rsidP="00ED615B">
      <w:pPr>
        <w:pStyle w:val="ListParagraph"/>
        <w:numPr>
          <w:ilvl w:val="0"/>
          <w:numId w:val="7"/>
        </w:numPr>
        <w:jc w:val="both"/>
        <w:rPr>
          <w:lang w:val="en-GB"/>
        </w:rPr>
      </w:pPr>
      <w:r>
        <w:rPr>
          <w:lang w:val="en-GB"/>
        </w:rPr>
        <w:t>If data is missing</w:t>
      </w:r>
      <w:r w:rsidR="0020053A">
        <w:rPr>
          <w:lang w:val="en-GB"/>
        </w:rPr>
        <w:t xml:space="preserve"> despite several reminders/attempts to contact the patient, please note potential reasons in the </w:t>
      </w:r>
      <w:r w:rsidR="004406F6">
        <w:rPr>
          <w:lang w:val="en-GB"/>
        </w:rPr>
        <w:t>e</w:t>
      </w:r>
      <w:r w:rsidR="0020053A">
        <w:rPr>
          <w:lang w:val="en-GB"/>
        </w:rPr>
        <w:t>CRF</w:t>
      </w:r>
      <w:r w:rsidR="004406F6">
        <w:rPr>
          <w:lang w:val="en-GB"/>
        </w:rPr>
        <w:t xml:space="preserve"> comments </w:t>
      </w:r>
      <w:proofErr w:type="gramStart"/>
      <w:r w:rsidR="004406F6">
        <w:rPr>
          <w:lang w:val="en-GB"/>
        </w:rPr>
        <w:t>field</w:t>
      </w:r>
      <w:proofErr w:type="gramEnd"/>
    </w:p>
    <w:p w14:paraId="290D3E27" w14:textId="77777777" w:rsidR="00D437A2" w:rsidRPr="00D437A2" w:rsidRDefault="00D437A2" w:rsidP="00ED615B">
      <w:pPr>
        <w:jc w:val="both"/>
        <w:rPr>
          <w:lang w:val="en-GB"/>
        </w:rPr>
      </w:pPr>
    </w:p>
    <w:p w14:paraId="427524F9" w14:textId="70496FD5" w:rsidR="0030323A" w:rsidRDefault="0030323A" w:rsidP="00ED615B">
      <w:pPr>
        <w:pStyle w:val="Heading1"/>
        <w:numPr>
          <w:ilvl w:val="0"/>
          <w:numId w:val="1"/>
        </w:numPr>
        <w:spacing w:after="120"/>
        <w:ind w:left="283" w:hanging="357"/>
        <w:jc w:val="both"/>
        <w:rPr>
          <w:lang w:val="en-GB"/>
        </w:rPr>
      </w:pPr>
      <w:bookmarkStart w:id="7" w:name="_Toc135039233"/>
      <w:r>
        <w:rPr>
          <w:lang w:val="en-GB"/>
        </w:rPr>
        <w:t xml:space="preserve">Follow up at 1 </w:t>
      </w:r>
      <w:proofErr w:type="gramStart"/>
      <w:r>
        <w:rPr>
          <w:lang w:val="en-GB"/>
        </w:rPr>
        <w:t>year</w:t>
      </w:r>
      <w:bookmarkEnd w:id="7"/>
      <w:proofErr w:type="gramEnd"/>
    </w:p>
    <w:p w14:paraId="7E055206" w14:textId="0F2FF300" w:rsidR="00230FDA" w:rsidRPr="00230FDA" w:rsidRDefault="00230FDA" w:rsidP="00ED615B">
      <w:pPr>
        <w:jc w:val="both"/>
      </w:pPr>
      <w:r w:rsidRPr="005D49CB">
        <w:rPr>
          <w:highlight w:val="yellow"/>
        </w:rPr>
        <w:t>Ja, hur ska denna gå till</w:t>
      </w:r>
      <w:r w:rsidRPr="00213ED3">
        <w:rPr>
          <w:highlight w:val="yellow"/>
        </w:rPr>
        <w:t>?</w:t>
      </w:r>
      <w:r w:rsidR="00213ED3" w:rsidRPr="00213ED3">
        <w:rPr>
          <w:highlight w:val="yellow"/>
        </w:rPr>
        <w:t xml:space="preserve"> Telefon</w:t>
      </w:r>
      <w:r w:rsidR="00213ED3" w:rsidRPr="00BF6C9E">
        <w:rPr>
          <w:highlight w:val="yellow"/>
        </w:rPr>
        <w:t xml:space="preserve">? </w:t>
      </w:r>
      <w:r w:rsidR="00BF6C9E" w:rsidRPr="00BF6C9E">
        <w:rPr>
          <w:highlight w:val="yellow"/>
        </w:rPr>
        <w:t xml:space="preserve">Likadant som 3 </w:t>
      </w:r>
      <w:proofErr w:type="gramStart"/>
      <w:r w:rsidR="00BF6C9E" w:rsidRPr="00BF6C9E">
        <w:rPr>
          <w:highlight w:val="yellow"/>
        </w:rPr>
        <w:t>mån?</w:t>
      </w:r>
      <w:r w:rsidR="00BF6C9E">
        <w:t>Vi</w:t>
      </w:r>
      <w:proofErr w:type="gramEnd"/>
      <w:r w:rsidR="00BF6C9E">
        <w:t xml:space="preserve"> har inte alls definierat detta i protokollet. Lite väl resurskrävande med </w:t>
      </w:r>
      <w:r w:rsidR="001B7279">
        <w:t>face-to-face visit?</w:t>
      </w:r>
    </w:p>
    <w:p w14:paraId="101A8532" w14:textId="56754D84" w:rsidR="0030323A" w:rsidRDefault="0030323A" w:rsidP="00ED615B">
      <w:pPr>
        <w:pStyle w:val="Heading1"/>
        <w:numPr>
          <w:ilvl w:val="0"/>
          <w:numId w:val="1"/>
        </w:numPr>
        <w:spacing w:after="120"/>
        <w:ind w:left="283" w:hanging="357"/>
        <w:jc w:val="both"/>
        <w:rPr>
          <w:lang w:val="en-GB"/>
        </w:rPr>
      </w:pPr>
      <w:bookmarkStart w:id="8" w:name="_Toc135039234"/>
      <w:r>
        <w:rPr>
          <w:lang w:val="en-GB"/>
        </w:rPr>
        <w:t>Modifie</w:t>
      </w:r>
      <w:r w:rsidR="00BF0575">
        <w:rPr>
          <w:lang w:val="en-GB"/>
        </w:rPr>
        <w:t>d</w:t>
      </w:r>
      <w:r>
        <w:rPr>
          <w:lang w:val="en-GB"/>
        </w:rPr>
        <w:t xml:space="preserve"> Rankin Scale</w:t>
      </w:r>
      <w:r w:rsidR="00B2202C">
        <w:rPr>
          <w:lang w:val="en-GB"/>
        </w:rPr>
        <w:t xml:space="preserve"> (mRS)</w:t>
      </w:r>
      <w:bookmarkEnd w:id="8"/>
    </w:p>
    <w:p w14:paraId="065523C5" w14:textId="315CA322" w:rsidR="00242296" w:rsidRPr="00242296" w:rsidRDefault="00823F7C" w:rsidP="00ED615B">
      <w:pPr>
        <w:jc w:val="both"/>
        <w:rPr>
          <w:lang w:val="en-GB"/>
        </w:rPr>
      </w:pPr>
      <w:r>
        <w:rPr>
          <w:lang w:val="en-GB"/>
        </w:rPr>
        <w:t>The mRS measures overall function</w:t>
      </w:r>
      <w:r w:rsidR="00804E03">
        <w:rPr>
          <w:lang w:val="en-GB"/>
        </w:rPr>
        <w:t>al outcome after a neurologic insult, including degree of disability and dependence in daily activities</w:t>
      </w:r>
      <w:r w:rsidR="00F10519">
        <w:rPr>
          <w:lang w:val="en-GB"/>
        </w:rPr>
        <w:t xml:space="preserve">. </w:t>
      </w:r>
    </w:p>
    <w:p w14:paraId="048592AF" w14:textId="5F0D45C2" w:rsidR="007F62E0" w:rsidRPr="007F62E0" w:rsidRDefault="007F62E0" w:rsidP="00ED615B">
      <w:pPr>
        <w:jc w:val="both"/>
        <w:rPr>
          <w:lang w:val="en-GB"/>
        </w:rPr>
      </w:pPr>
      <w:r w:rsidRPr="007F62E0">
        <w:rPr>
          <w:lang w:val="en-GB"/>
        </w:rPr>
        <w:t>The final mRS score is represented by 7 categories:</w:t>
      </w:r>
    </w:p>
    <w:p w14:paraId="1358F3D5" w14:textId="692997F3" w:rsidR="007F62E0" w:rsidRPr="000B087C" w:rsidRDefault="007F62E0" w:rsidP="00ED615B">
      <w:pPr>
        <w:pStyle w:val="ListParagraph"/>
        <w:numPr>
          <w:ilvl w:val="0"/>
          <w:numId w:val="6"/>
        </w:numPr>
        <w:jc w:val="both"/>
        <w:rPr>
          <w:lang w:val="en-GB"/>
        </w:rPr>
      </w:pPr>
      <w:r w:rsidRPr="000B087C">
        <w:rPr>
          <w:lang w:val="en-GB"/>
        </w:rPr>
        <w:t>No symptoms at all</w:t>
      </w:r>
    </w:p>
    <w:p w14:paraId="42F255C8" w14:textId="602C10CE" w:rsidR="007F62E0" w:rsidRPr="000B087C" w:rsidRDefault="007F62E0" w:rsidP="00ED615B">
      <w:pPr>
        <w:pStyle w:val="ListParagraph"/>
        <w:numPr>
          <w:ilvl w:val="0"/>
          <w:numId w:val="6"/>
        </w:numPr>
        <w:jc w:val="both"/>
        <w:rPr>
          <w:lang w:val="en-GB"/>
        </w:rPr>
      </w:pPr>
      <w:r w:rsidRPr="000B087C">
        <w:rPr>
          <w:lang w:val="en-GB"/>
        </w:rPr>
        <w:t>No significant disability despite symptoms; able to carry out all usual duties and</w:t>
      </w:r>
      <w:r w:rsidR="00C63B0A">
        <w:rPr>
          <w:lang w:val="en-GB"/>
        </w:rPr>
        <w:t xml:space="preserve"> </w:t>
      </w:r>
      <w:proofErr w:type="gramStart"/>
      <w:r w:rsidRPr="000B087C">
        <w:rPr>
          <w:lang w:val="en-GB"/>
        </w:rPr>
        <w:t>activities</w:t>
      </w:r>
      <w:proofErr w:type="gramEnd"/>
    </w:p>
    <w:p w14:paraId="3A780E72" w14:textId="1BC7EF17" w:rsidR="007F62E0" w:rsidRPr="000B087C" w:rsidRDefault="007F62E0" w:rsidP="00ED615B">
      <w:pPr>
        <w:pStyle w:val="ListParagraph"/>
        <w:numPr>
          <w:ilvl w:val="0"/>
          <w:numId w:val="6"/>
        </w:numPr>
        <w:jc w:val="both"/>
        <w:rPr>
          <w:lang w:val="en-GB"/>
        </w:rPr>
      </w:pPr>
      <w:r w:rsidRPr="000B087C">
        <w:rPr>
          <w:lang w:val="en-GB"/>
        </w:rPr>
        <w:t xml:space="preserve">Slight </w:t>
      </w:r>
      <w:proofErr w:type="gramStart"/>
      <w:r w:rsidRPr="000B087C">
        <w:rPr>
          <w:lang w:val="en-GB"/>
        </w:rPr>
        <w:t>disability;</w:t>
      </w:r>
      <w:proofErr w:type="gramEnd"/>
      <w:r w:rsidRPr="000B087C">
        <w:rPr>
          <w:lang w:val="en-GB"/>
        </w:rPr>
        <w:t xml:space="preserve"> unable to carry out all previous activities, but able to look after</w:t>
      </w:r>
      <w:r w:rsidR="00C63B0A">
        <w:rPr>
          <w:lang w:val="en-GB"/>
        </w:rPr>
        <w:t xml:space="preserve"> </w:t>
      </w:r>
      <w:r w:rsidRPr="000B087C">
        <w:rPr>
          <w:lang w:val="en-GB"/>
        </w:rPr>
        <w:t>own affairs without assistance</w:t>
      </w:r>
    </w:p>
    <w:p w14:paraId="2ACEFB11" w14:textId="244A844B" w:rsidR="007F62E0" w:rsidRPr="000B087C" w:rsidRDefault="007F62E0" w:rsidP="00ED615B">
      <w:pPr>
        <w:pStyle w:val="ListParagraph"/>
        <w:numPr>
          <w:ilvl w:val="0"/>
          <w:numId w:val="6"/>
        </w:numPr>
        <w:jc w:val="both"/>
        <w:rPr>
          <w:lang w:val="en-GB"/>
        </w:rPr>
      </w:pPr>
      <w:r w:rsidRPr="000B087C">
        <w:rPr>
          <w:lang w:val="en-GB"/>
        </w:rPr>
        <w:t xml:space="preserve">Moderate </w:t>
      </w:r>
      <w:proofErr w:type="gramStart"/>
      <w:r w:rsidRPr="000B087C">
        <w:rPr>
          <w:lang w:val="en-GB"/>
        </w:rPr>
        <w:t>disability;</w:t>
      </w:r>
      <w:proofErr w:type="gramEnd"/>
      <w:r w:rsidRPr="000B087C">
        <w:rPr>
          <w:lang w:val="en-GB"/>
        </w:rPr>
        <w:t xml:space="preserve"> requiring some help but able to walk without assistance</w:t>
      </w:r>
    </w:p>
    <w:p w14:paraId="645768C7" w14:textId="26E49679" w:rsidR="007F62E0" w:rsidRPr="000B087C" w:rsidRDefault="007F62E0" w:rsidP="00ED615B">
      <w:pPr>
        <w:pStyle w:val="ListParagraph"/>
        <w:numPr>
          <w:ilvl w:val="0"/>
          <w:numId w:val="4"/>
        </w:numPr>
        <w:jc w:val="both"/>
        <w:rPr>
          <w:lang w:val="en-GB"/>
        </w:rPr>
      </w:pPr>
      <w:r w:rsidRPr="000B087C">
        <w:rPr>
          <w:lang w:val="en-GB"/>
        </w:rPr>
        <w:t xml:space="preserve">Moderately severe </w:t>
      </w:r>
      <w:r w:rsidR="00C63B0A" w:rsidRPr="000B087C">
        <w:rPr>
          <w:lang w:val="en-GB"/>
        </w:rPr>
        <w:t>disability</w:t>
      </w:r>
      <w:r w:rsidR="00C63B0A">
        <w:rPr>
          <w:lang w:val="en-GB"/>
        </w:rPr>
        <w:t xml:space="preserve">, </w:t>
      </w:r>
      <w:r w:rsidRPr="000B087C">
        <w:rPr>
          <w:lang w:val="en-GB"/>
        </w:rPr>
        <w:t>unable to walk without assistance and unable to</w:t>
      </w:r>
      <w:r w:rsidR="002E0B2C" w:rsidRPr="000B087C">
        <w:rPr>
          <w:lang w:val="en-GB"/>
        </w:rPr>
        <w:t xml:space="preserve"> </w:t>
      </w:r>
      <w:r w:rsidRPr="000B087C">
        <w:rPr>
          <w:lang w:val="en-GB"/>
        </w:rPr>
        <w:t xml:space="preserve">attend to own bodily need without </w:t>
      </w:r>
      <w:proofErr w:type="gramStart"/>
      <w:r w:rsidRPr="000B087C">
        <w:rPr>
          <w:lang w:val="en-GB"/>
        </w:rPr>
        <w:t>assistance</w:t>
      </w:r>
      <w:proofErr w:type="gramEnd"/>
    </w:p>
    <w:p w14:paraId="3BB39694" w14:textId="721F0E2C" w:rsidR="00E54B16" w:rsidRPr="000B087C" w:rsidRDefault="007F62E0" w:rsidP="00ED615B">
      <w:pPr>
        <w:pStyle w:val="ListParagraph"/>
        <w:numPr>
          <w:ilvl w:val="0"/>
          <w:numId w:val="4"/>
        </w:numPr>
        <w:jc w:val="both"/>
        <w:rPr>
          <w:lang w:val="en-GB"/>
        </w:rPr>
      </w:pPr>
      <w:r w:rsidRPr="000B087C">
        <w:rPr>
          <w:lang w:val="en-GB"/>
        </w:rPr>
        <w:t xml:space="preserve">Severe disability; bedridden, </w:t>
      </w:r>
      <w:proofErr w:type="gramStart"/>
      <w:r w:rsidRPr="000B087C">
        <w:rPr>
          <w:lang w:val="en-GB"/>
        </w:rPr>
        <w:t>incontinent</w:t>
      </w:r>
      <w:proofErr w:type="gramEnd"/>
      <w:r w:rsidRPr="000B087C">
        <w:rPr>
          <w:lang w:val="en-GB"/>
        </w:rPr>
        <w:t xml:space="preserve"> and requiring constant nursing care and attention</w:t>
      </w:r>
    </w:p>
    <w:p w14:paraId="2E853DA9" w14:textId="2B1A532F" w:rsidR="002B1C14" w:rsidRDefault="008C69F9" w:rsidP="00ED615B">
      <w:pPr>
        <w:pStyle w:val="ListParagraph"/>
        <w:numPr>
          <w:ilvl w:val="0"/>
          <w:numId w:val="4"/>
        </w:numPr>
        <w:jc w:val="both"/>
        <w:rPr>
          <w:lang w:val="en-GB"/>
        </w:rPr>
      </w:pPr>
      <w:r w:rsidRPr="000B087C">
        <w:rPr>
          <w:lang w:val="en-GB"/>
        </w:rPr>
        <w:t>Dead</w:t>
      </w:r>
    </w:p>
    <w:p w14:paraId="15D2A89C" w14:textId="77777777" w:rsidR="002B1C14" w:rsidRPr="002B1C14" w:rsidRDefault="002B1C14" w:rsidP="00ED615B">
      <w:pPr>
        <w:ind w:left="360"/>
        <w:jc w:val="both"/>
        <w:rPr>
          <w:lang w:val="en-GB"/>
        </w:rPr>
      </w:pPr>
    </w:p>
    <w:p w14:paraId="175471C9" w14:textId="77777777" w:rsidR="004D245B" w:rsidRPr="004D245B" w:rsidRDefault="004D245B" w:rsidP="00ED615B">
      <w:pPr>
        <w:pStyle w:val="Heading2"/>
        <w:spacing w:before="120" w:after="120"/>
        <w:ind w:left="426"/>
        <w:jc w:val="both"/>
        <w:rPr>
          <w:color w:val="000000" w:themeColor="text1"/>
          <w:lang w:val="en-GB"/>
        </w:rPr>
      </w:pPr>
      <w:bookmarkStart w:id="9" w:name="_Toc135039235"/>
      <w:r w:rsidRPr="004D245B">
        <w:rPr>
          <w:color w:val="000000" w:themeColor="text1"/>
          <w:lang w:val="en-GB"/>
        </w:rPr>
        <w:lastRenderedPageBreak/>
        <w:t>6.1 Structured interview and scoring</w:t>
      </w:r>
      <w:bookmarkEnd w:id="9"/>
    </w:p>
    <w:p w14:paraId="26D0A48A" w14:textId="77587383" w:rsidR="00C4691F" w:rsidRDefault="00F10519" w:rsidP="00ED615B">
      <w:pPr>
        <w:ind w:left="426"/>
        <w:jc w:val="both"/>
        <w:rPr>
          <w:lang w:val="en-GB"/>
        </w:rPr>
      </w:pPr>
      <w:r>
        <w:rPr>
          <w:lang w:val="en-GB"/>
        </w:rPr>
        <w:t xml:space="preserve">The mRS score </w:t>
      </w:r>
      <w:r w:rsidR="008D6FFB">
        <w:rPr>
          <w:lang w:val="en-GB"/>
        </w:rPr>
        <w:t>is established by performing a brief structural interview</w:t>
      </w:r>
      <w:r w:rsidR="003F7389">
        <w:rPr>
          <w:lang w:val="en-GB"/>
        </w:rPr>
        <w:t xml:space="preserve"> with the patient and </w:t>
      </w:r>
      <w:r w:rsidR="00C4691F">
        <w:rPr>
          <w:lang w:val="en-GB"/>
        </w:rPr>
        <w:t>the person accomp</w:t>
      </w:r>
      <w:r w:rsidR="00940169">
        <w:rPr>
          <w:lang w:val="en-GB"/>
        </w:rPr>
        <w:t>anying him/her. Start with questio</w:t>
      </w:r>
      <w:r w:rsidR="006D1BEA">
        <w:rPr>
          <w:lang w:val="en-GB"/>
        </w:rPr>
        <w:t xml:space="preserve">n 1 </w:t>
      </w:r>
      <w:r w:rsidR="006D1BEA" w:rsidRPr="0062401B">
        <w:rPr>
          <w:i/>
          <w:iCs/>
          <w:lang w:val="en-GB"/>
        </w:rPr>
        <w:t xml:space="preserve">“Do you have any </w:t>
      </w:r>
      <w:r w:rsidR="0062401B" w:rsidRPr="0062401B">
        <w:rPr>
          <w:i/>
          <w:iCs/>
          <w:lang w:val="en-GB"/>
        </w:rPr>
        <w:t>symptoms that bother you?”</w:t>
      </w:r>
      <w:r w:rsidR="00726351">
        <w:rPr>
          <w:lang w:val="en-GB"/>
        </w:rPr>
        <w:t xml:space="preserve">. It is important to include a broad range of symptoms that are common after </w:t>
      </w:r>
      <w:r w:rsidR="008E3101">
        <w:rPr>
          <w:lang w:val="en-GB"/>
        </w:rPr>
        <w:t xml:space="preserve">cardiac arrest such </w:t>
      </w:r>
      <w:proofErr w:type="gramStart"/>
      <w:r w:rsidR="008E3101">
        <w:rPr>
          <w:lang w:val="en-GB"/>
        </w:rPr>
        <w:t>as;</w:t>
      </w:r>
      <w:proofErr w:type="gramEnd"/>
      <w:r w:rsidR="008E3101">
        <w:rPr>
          <w:lang w:val="en-GB"/>
        </w:rPr>
        <w:t xml:space="preserve"> </w:t>
      </w:r>
      <w:r w:rsidR="008E3101" w:rsidRPr="008E3101">
        <w:rPr>
          <w:lang w:val="en-GB"/>
        </w:rPr>
        <w:t>memory or</w:t>
      </w:r>
      <w:r w:rsidR="008E3101">
        <w:rPr>
          <w:lang w:val="en-GB"/>
        </w:rPr>
        <w:t xml:space="preserve"> </w:t>
      </w:r>
      <w:r w:rsidR="008E3101" w:rsidRPr="008E3101">
        <w:rPr>
          <w:lang w:val="en-GB"/>
        </w:rPr>
        <w:t>attention issues, problems with executive functions (reduced planning or organization),</w:t>
      </w:r>
      <w:r w:rsidR="009E7E15">
        <w:rPr>
          <w:lang w:val="en-GB"/>
        </w:rPr>
        <w:t xml:space="preserve"> </w:t>
      </w:r>
      <w:r w:rsidR="008E3101" w:rsidRPr="008E3101">
        <w:rPr>
          <w:lang w:val="en-GB"/>
        </w:rPr>
        <w:t>fatigue, anxiety, depression or posttraumatic stress</w:t>
      </w:r>
      <w:r w:rsidR="009E7E15">
        <w:rPr>
          <w:lang w:val="en-GB"/>
        </w:rPr>
        <w:t>.</w:t>
      </w:r>
    </w:p>
    <w:p w14:paraId="59FBBB23" w14:textId="46E034BE" w:rsidR="009E7E15" w:rsidRPr="00FC719C" w:rsidRDefault="004764CB" w:rsidP="00ED615B">
      <w:pPr>
        <w:ind w:left="426"/>
        <w:jc w:val="both"/>
        <w:rPr>
          <w:lang w:val="en-GB"/>
        </w:rPr>
      </w:pPr>
      <w:r>
        <w:rPr>
          <w:lang w:val="en-GB"/>
        </w:rPr>
        <w:t xml:space="preserve">Use the mRS calculator available at </w:t>
      </w:r>
      <w:hyperlink r:id="rId15" w:history="1">
        <w:r w:rsidR="00BB2312" w:rsidRPr="00777843">
          <w:rPr>
            <w:rStyle w:val="Hyperlink"/>
            <w:lang w:val="en-GB"/>
          </w:rPr>
          <w:t>www.modifiedrankin.com</w:t>
        </w:r>
      </w:hyperlink>
      <w:r w:rsidR="00BB2312">
        <w:rPr>
          <w:lang w:val="en-GB"/>
        </w:rPr>
        <w:t xml:space="preserve"> for </w:t>
      </w:r>
      <w:r w:rsidR="00CD4674">
        <w:rPr>
          <w:lang w:val="en-GB"/>
        </w:rPr>
        <w:t xml:space="preserve">scoring. If patients and the person accompanying him/her </w:t>
      </w:r>
      <w:r w:rsidR="00F20C2C">
        <w:rPr>
          <w:lang w:val="en-GB"/>
        </w:rPr>
        <w:t>give conflicting answers about disabilities, generally use the worse outcome reported.</w:t>
      </w:r>
    </w:p>
    <w:p w14:paraId="7C21F711" w14:textId="67639D7C" w:rsidR="00342AF1" w:rsidRPr="00342AF1" w:rsidRDefault="00342AF1" w:rsidP="00ED615B">
      <w:pPr>
        <w:ind w:left="426"/>
        <w:jc w:val="both"/>
        <w:rPr>
          <w:lang w:val="en-GB"/>
        </w:rPr>
      </w:pPr>
      <w:r w:rsidRPr="00FC719C">
        <w:rPr>
          <w:b/>
          <w:bCs/>
          <w:lang w:val="en-GB"/>
        </w:rPr>
        <w:t>Question 1:</w:t>
      </w:r>
      <w:r w:rsidRPr="00342AF1">
        <w:rPr>
          <w:lang w:val="en-GB"/>
        </w:rPr>
        <w:t xml:space="preserve"> Do you have any symptoms that are bothering you?</w:t>
      </w:r>
      <w:r w:rsidR="00D82F8E">
        <w:rPr>
          <w:lang w:val="en-GB"/>
        </w:rPr>
        <w:t xml:space="preserve"> (YES/NO)</w:t>
      </w:r>
    </w:p>
    <w:p w14:paraId="0FCEC5B4" w14:textId="34BD83A1" w:rsidR="00342AF1" w:rsidRPr="00342AF1" w:rsidRDefault="00342AF1" w:rsidP="00ED615B">
      <w:pPr>
        <w:ind w:left="426"/>
        <w:jc w:val="both"/>
        <w:rPr>
          <w:lang w:val="en-GB"/>
        </w:rPr>
      </w:pPr>
      <w:r w:rsidRPr="00FC719C">
        <w:rPr>
          <w:b/>
          <w:bCs/>
          <w:lang w:val="en-GB"/>
        </w:rPr>
        <w:t>Question 2:</w:t>
      </w:r>
      <w:r w:rsidRPr="00342AF1">
        <w:rPr>
          <w:lang w:val="en-GB"/>
        </w:rPr>
        <w:t xml:space="preserve"> Are you able to do the same work as before?</w:t>
      </w:r>
      <w:r w:rsidR="00D82F8E" w:rsidRPr="00D82F8E">
        <w:rPr>
          <w:lang w:val="en-GB"/>
        </w:rPr>
        <w:t xml:space="preserve"> </w:t>
      </w:r>
      <w:r w:rsidR="00D82F8E">
        <w:rPr>
          <w:lang w:val="en-GB"/>
        </w:rPr>
        <w:t>(YES/NO)</w:t>
      </w:r>
    </w:p>
    <w:p w14:paraId="6756A5EA" w14:textId="3984C51C" w:rsidR="00342AF1" w:rsidRPr="00342AF1" w:rsidRDefault="00342AF1" w:rsidP="00ED615B">
      <w:pPr>
        <w:ind w:left="426"/>
        <w:jc w:val="both"/>
        <w:rPr>
          <w:lang w:val="en-GB"/>
        </w:rPr>
      </w:pPr>
      <w:r w:rsidRPr="00FC719C">
        <w:rPr>
          <w:b/>
          <w:bCs/>
          <w:lang w:val="en-GB"/>
        </w:rPr>
        <w:t>Question 3:</w:t>
      </w:r>
      <w:r w:rsidRPr="00342AF1">
        <w:rPr>
          <w:lang w:val="en-GB"/>
        </w:rPr>
        <w:t xml:space="preserve"> Are you able to keep up with your hobbies?</w:t>
      </w:r>
      <w:r w:rsidR="00D82F8E" w:rsidRPr="00D82F8E">
        <w:rPr>
          <w:lang w:val="en-GB"/>
        </w:rPr>
        <w:t xml:space="preserve"> </w:t>
      </w:r>
      <w:r w:rsidR="00D82F8E">
        <w:rPr>
          <w:lang w:val="en-GB"/>
        </w:rPr>
        <w:t>(YES/NO)</w:t>
      </w:r>
    </w:p>
    <w:p w14:paraId="50D8E698" w14:textId="3BAF6F7F" w:rsidR="00342AF1" w:rsidRPr="00342AF1" w:rsidRDefault="00342AF1" w:rsidP="00ED615B">
      <w:pPr>
        <w:ind w:left="426"/>
        <w:jc w:val="both"/>
        <w:rPr>
          <w:lang w:val="en-GB"/>
        </w:rPr>
      </w:pPr>
      <w:r w:rsidRPr="00FC719C">
        <w:rPr>
          <w:b/>
          <w:bCs/>
          <w:lang w:val="en-GB"/>
        </w:rPr>
        <w:t>Question 4:</w:t>
      </w:r>
      <w:r w:rsidRPr="00342AF1">
        <w:rPr>
          <w:lang w:val="en-GB"/>
        </w:rPr>
        <w:t xml:space="preserve"> Have you maintained your ties to friends and family?</w:t>
      </w:r>
      <w:r w:rsidR="00D82F8E" w:rsidRPr="00D82F8E">
        <w:rPr>
          <w:lang w:val="en-GB"/>
        </w:rPr>
        <w:t xml:space="preserve"> </w:t>
      </w:r>
      <w:r w:rsidR="00D82F8E">
        <w:rPr>
          <w:lang w:val="en-GB"/>
        </w:rPr>
        <w:t>(YES/NO)</w:t>
      </w:r>
    </w:p>
    <w:p w14:paraId="78D0064D" w14:textId="4978BA6F" w:rsidR="00342AF1" w:rsidRPr="00342AF1" w:rsidRDefault="00342AF1" w:rsidP="00ED615B">
      <w:pPr>
        <w:ind w:left="426"/>
        <w:jc w:val="both"/>
        <w:rPr>
          <w:lang w:val="en-GB"/>
        </w:rPr>
      </w:pPr>
      <w:r w:rsidRPr="00FC719C">
        <w:rPr>
          <w:b/>
          <w:bCs/>
          <w:lang w:val="en-GB"/>
        </w:rPr>
        <w:t>Question 5:</w:t>
      </w:r>
      <w:r w:rsidRPr="00342AF1">
        <w:rPr>
          <w:lang w:val="en-GB"/>
        </w:rPr>
        <w:t xml:space="preserve"> Do you need help making a simple meal, doing household chores, or balancing a checkbook?</w:t>
      </w:r>
      <w:r w:rsidR="00D82F8E" w:rsidRPr="00D82F8E">
        <w:rPr>
          <w:lang w:val="en-GB"/>
        </w:rPr>
        <w:t xml:space="preserve"> </w:t>
      </w:r>
      <w:r w:rsidR="00D82F8E">
        <w:rPr>
          <w:lang w:val="en-GB"/>
        </w:rPr>
        <w:t>(YES/NO)</w:t>
      </w:r>
    </w:p>
    <w:p w14:paraId="56141AD7" w14:textId="6A8CF32D" w:rsidR="00342AF1" w:rsidRDefault="00342AF1" w:rsidP="00ED615B">
      <w:pPr>
        <w:ind w:left="426"/>
        <w:jc w:val="both"/>
        <w:rPr>
          <w:lang w:val="en-GB"/>
        </w:rPr>
      </w:pPr>
      <w:r w:rsidRPr="00FC719C">
        <w:rPr>
          <w:b/>
          <w:bCs/>
          <w:lang w:val="en-GB"/>
        </w:rPr>
        <w:t>Question 6:</w:t>
      </w:r>
      <w:r w:rsidRPr="00342AF1">
        <w:rPr>
          <w:lang w:val="en-GB"/>
        </w:rPr>
        <w:t xml:space="preserve"> Do you need help with shopping or traveling close to home?</w:t>
      </w:r>
      <w:r w:rsidR="00D82F8E" w:rsidRPr="00D82F8E">
        <w:rPr>
          <w:lang w:val="en-GB"/>
        </w:rPr>
        <w:t xml:space="preserve"> </w:t>
      </w:r>
      <w:r w:rsidR="00D82F8E">
        <w:rPr>
          <w:lang w:val="en-GB"/>
        </w:rPr>
        <w:t>(YES/NO)</w:t>
      </w:r>
    </w:p>
    <w:p w14:paraId="76584DFF" w14:textId="504D4C13" w:rsidR="00342AF1" w:rsidRPr="00342AF1" w:rsidRDefault="00342AF1" w:rsidP="00ED615B">
      <w:pPr>
        <w:ind w:left="426"/>
        <w:jc w:val="both"/>
        <w:rPr>
          <w:lang w:val="en-GB"/>
        </w:rPr>
      </w:pPr>
      <w:r w:rsidRPr="00FC719C">
        <w:rPr>
          <w:b/>
          <w:bCs/>
          <w:lang w:val="en-GB"/>
        </w:rPr>
        <w:t>Question 7:</w:t>
      </w:r>
      <w:r w:rsidRPr="00342AF1">
        <w:rPr>
          <w:lang w:val="en-GB"/>
        </w:rPr>
        <w:t xml:space="preserve"> Do you need another person to help you walk?</w:t>
      </w:r>
      <w:r w:rsidR="00D82F8E" w:rsidRPr="00D82F8E">
        <w:rPr>
          <w:lang w:val="en-GB"/>
        </w:rPr>
        <w:t xml:space="preserve"> </w:t>
      </w:r>
      <w:r w:rsidR="00D82F8E">
        <w:rPr>
          <w:lang w:val="en-GB"/>
        </w:rPr>
        <w:t>(YES/NO)</w:t>
      </w:r>
    </w:p>
    <w:p w14:paraId="26E7B232" w14:textId="0800FAF0" w:rsidR="00342AF1" w:rsidRPr="00342AF1" w:rsidRDefault="00342AF1" w:rsidP="00ED615B">
      <w:pPr>
        <w:ind w:left="426"/>
        <w:jc w:val="both"/>
        <w:rPr>
          <w:lang w:val="en-GB"/>
        </w:rPr>
      </w:pPr>
      <w:r w:rsidRPr="00FC719C">
        <w:rPr>
          <w:b/>
          <w:bCs/>
          <w:lang w:val="en-GB"/>
        </w:rPr>
        <w:t>Question 8:</w:t>
      </w:r>
      <w:r w:rsidRPr="00342AF1">
        <w:rPr>
          <w:lang w:val="en-GB"/>
        </w:rPr>
        <w:t xml:space="preserve"> Do you need help with eating, going to the toilet, or bathing?</w:t>
      </w:r>
      <w:r w:rsidR="00D82F8E" w:rsidRPr="00D82F8E">
        <w:rPr>
          <w:lang w:val="en-GB"/>
        </w:rPr>
        <w:t xml:space="preserve"> </w:t>
      </w:r>
      <w:r w:rsidR="00D82F8E">
        <w:rPr>
          <w:lang w:val="en-GB"/>
        </w:rPr>
        <w:t>(YES/NO)</w:t>
      </w:r>
    </w:p>
    <w:p w14:paraId="6485B0ED" w14:textId="45760D86" w:rsidR="00342AF1" w:rsidRPr="008E3101" w:rsidRDefault="00342AF1" w:rsidP="00ED615B">
      <w:pPr>
        <w:ind w:left="426"/>
        <w:jc w:val="both"/>
        <w:rPr>
          <w:lang w:val="en-GB"/>
        </w:rPr>
      </w:pPr>
      <w:r w:rsidRPr="00FC719C">
        <w:rPr>
          <w:b/>
          <w:bCs/>
          <w:lang w:val="en-GB"/>
        </w:rPr>
        <w:t>Question 9:</w:t>
      </w:r>
      <w:r w:rsidRPr="00342AF1">
        <w:rPr>
          <w:lang w:val="en-GB"/>
        </w:rPr>
        <w:t xml:space="preserve"> Do you stay in bed most of the day and need constant nursing care?</w:t>
      </w:r>
      <w:r w:rsidR="00D82F8E" w:rsidRPr="00D82F8E">
        <w:rPr>
          <w:lang w:val="en-GB"/>
        </w:rPr>
        <w:t xml:space="preserve"> </w:t>
      </w:r>
      <w:r w:rsidR="00D82F8E">
        <w:rPr>
          <w:lang w:val="en-GB"/>
        </w:rPr>
        <w:t>(YES/NO)</w:t>
      </w:r>
    </w:p>
    <w:p w14:paraId="70D802A4" w14:textId="3E6B9287" w:rsidR="00313D8B" w:rsidRDefault="00313D8B" w:rsidP="00ED615B">
      <w:pPr>
        <w:pStyle w:val="Heading1"/>
        <w:numPr>
          <w:ilvl w:val="0"/>
          <w:numId w:val="4"/>
        </w:numPr>
        <w:spacing w:after="120"/>
        <w:ind w:left="283" w:hanging="357"/>
        <w:jc w:val="both"/>
        <w:rPr>
          <w:lang w:val="en-GB"/>
        </w:rPr>
      </w:pPr>
      <w:bookmarkStart w:id="10" w:name="_Toc135039236"/>
      <w:r>
        <w:rPr>
          <w:lang w:val="en-GB"/>
        </w:rPr>
        <w:t>Cerebral Performance Category Scale</w:t>
      </w:r>
      <w:r w:rsidR="00E05BE2">
        <w:rPr>
          <w:lang w:val="en-GB"/>
        </w:rPr>
        <w:t xml:space="preserve"> (CPC scale)</w:t>
      </w:r>
      <w:bookmarkEnd w:id="10"/>
    </w:p>
    <w:p w14:paraId="2A303171" w14:textId="4C2127AF" w:rsidR="00132FE4" w:rsidRDefault="00E05BE2" w:rsidP="00ED615B">
      <w:pPr>
        <w:jc w:val="both"/>
        <w:rPr>
          <w:lang w:val="en-GB"/>
        </w:rPr>
      </w:pPr>
      <w:r>
        <w:rPr>
          <w:lang w:val="en-GB"/>
        </w:rPr>
        <w:t xml:space="preserve">The CPC scale </w:t>
      </w:r>
      <w:r w:rsidR="00A974CD">
        <w:rPr>
          <w:lang w:val="en-GB"/>
        </w:rPr>
        <w:t xml:space="preserve">ranges from CPC 1 to CPC 5 and </w:t>
      </w:r>
      <w:r>
        <w:rPr>
          <w:lang w:val="en-GB"/>
        </w:rPr>
        <w:t xml:space="preserve">measures functional outcome after cardiac arrest. </w:t>
      </w:r>
      <w:r w:rsidR="00A3692C">
        <w:rPr>
          <w:lang w:val="en-GB"/>
        </w:rPr>
        <w:t>Based on the information gathered during the follow up</w:t>
      </w:r>
      <w:r w:rsidR="00726E48">
        <w:rPr>
          <w:lang w:val="en-GB"/>
        </w:rPr>
        <w:t xml:space="preserve">, </w:t>
      </w:r>
      <w:r w:rsidR="00A3692C">
        <w:rPr>
          <w:lang w:val="en-GB"/>
        </w:rPr>
        <w:t xml:space="preserve">especially while </w:t>
      </w:r>
      <w:r w:rsidR="00726E48">
        <w:rPr>
          <w:lang w:val="en-GB"/>
        </w:rPr>
        <w:t xml:space="preserve">performing the structured interview for mRS scoring, </w:t>
      </w:r>
      <w:r w:rsidR="00A7627E">
        <w:rPr>
          <w:lang w:val="en-GB"/>
        </w:rPr>
        <w:t>the</w:t>
      </w:r>
      <w:r w:rsidR="00773361">
        <w:rPr>
          <w:lang w:val="en-GB"/>
        </w:rPr>
        <w:t xml:space="preserve"> patient can be categorised according to the CPC-scale.</w:t>
      </w:r>
      <w:r w:rsidR="00132FE4" w:rsidRPr="00132FE4">
        <w:rPr>
          <w:lang w:val="en-GB"/>
        </w:rPr>
        <w:t xml:space="preserve"> </w:t>
      </w:r>
    </w:p>
    <w:p w14:paraId="214BB152" w14:textId="10744C4D" w:rsidR="00C9093A" w:rsidRDefault="00132FE4" w:rsidP="00ED615B">
      <w:pPr>
        <w:jc w:val="both"/>
        <w:rPr>
          <w:lang w:val="en-GB"/>
        </w:rPr>
      </w:pPr>
      <w:r w:rsidRPr="00126AF3">
        <w:rPr>
          <w:lang w:val="en-GB"/>
        </w:rPr>
        <w:t xml:space="preserve">Worst level of performance for any single criterion is used for categorizing. Deficits are scored only if they result from a neurologic disorder. </w:t>
      </w:r>
    </w:p>
    <w:p w14:paraId="050C9E1B" w14:textId="4729FC2A" w:rsidR="00FA2C8C" w:rsidRPr="00C9093A" w:rsidRDefault="00FA2C8C" w:rsidP="00ED615B">
      <w:pPr>
        <w:jc w:val="both"/>
        <w:rPr>
          <w:lang w:val="en-GB"/>
        </w:rPr>
      </w:pPr>
      <w:r>
        <w:rPr>
          <w:lang w:val="en-GB"/>
        </w:rPr>
        <w:t>CPC scale:</w:t>
      </w:r>
    </w:p>
    <w:p w14:paraId="46E25148" w14:textId="497A80BD" w:rsidR="003C14AD" w:rsidRPr="00AB5BD5" w:rsidRDefault="00C12665" w:rsidP="00ED615B">
      <w:pPr>
        <w:pStyle w:val="ListParagraph"/>
        <w:numPr>
          <w:ilvl w:val="0"/>
          <w:numId w:val="8"/>
        </w:numPr>
        <w:spacing w:after="120"/>
        <w:ind w:left="714" w:hanging="357"/>
        <w:contextualSpacing w:val="0"/>
        <w:jc w:val="both"/>
        <w:rPr>
          <w:lang w:val="en-GB"/>
        </w:rPr>
      </w:pPr>
      <w:r w:rsidRPr="00A7627E">
        <w:rPr>
          <w:lang w:val="en-GB"/>
        </w:rPr>
        <w:t>G</w:t>
      </w:r>
      <w:r w:rsidR="00126AF3" w:rsidRPr="00A7627E">
        <w:rPr>
          <w:lang w:val="en-GB"/>
        </w:rPr>
        <w:t>ood cerebral performance</w:t>
      </w:r>
      <w:r w:rsidR="005C25A2" w:rsidRPr="005C25A2">
        <w:rPr>
          <w:lang w:val="en-GB"/>
        </w:rPr>
        <w:t xml:space="preserve"> (</w:t>
      </w:r>
      <w:r w:rsidR="00A703CB">
        <w:rPr>
          <w:lang w:val="en-GB"/>
        </w:rPr>
        <w:t>c</w:t>
      </w:r>
      <w:r w:rsidR="00126AF3" w:rsidRPr="005C25A2">
        <w:rPr>
          <w:lang w:val="en-GB"/>
        </w:rPr>
        <w:t>onscious, alert, able to work and lead a normal life</w:t>
      </w:r>
      <w:r w:rsidR="005C25A2" w:rsidRPr="005C25A2">
        <w:rPr>
          <w:lang w:val="en-GB"/>
        </w:rPr>
        <w:t>.</w:t>
      </w:r>
      <w:r w:rsidR="005C25A2">
        <w:rPr>
          <w:lang w:val="en-GB"/>
        </w:rPr>
        <w:t xml:space="preserve"> </w:t>
      </w:r>
      <w:r w:rsidR="00126AF3" w:rsidRPr="005C25A2">
        <w:rPr>
          <w:lang w:val="en-GB"/>
        </w:rPr>
        <w:t>May have minor psychologic or neurologic deficits (eg, mild dysphasia, non-incapacitating hemiparesis, minor cranial nerve abnormalities)</w:t>
      </w:r>
      <w:r w:rsidR="005C25A2">
        <w:rPr>
          <w:lang w:val="en-GB"/>
        </w:rPr>
        <w:t>)</w:t>
      </w:r>
    </w:p>
    <w:p w14:paraId="13BE8BA3" w14:textId="0C157F76" w:rsidR="003C14AD" w:rsidRPr="00AB5BD5" w:rsidRDefault="00126AF3" w:rsidP="00ED615B">
      <w:pPr>
        <w:pStyle w:val="ListParagraph"/>
        <w:numPr>
          <w:ilvl w:val="0"/>
          <w:numId w:val="8"/>
        </w:numPr>
        <w:spacing w:after="120"/>
        <w:ind w:left="714" w:hanging="357"/>
        <w:contextualSpacing w:val="0"/>
        <w:jc w:val="both"/>
        <w:rPr>
          <w:lang w:val="en-GB"/>
        </w:rPr>
      </w:pPr>
      <w:r w:rsidRPr="004048A5">
        <w:rPr>
          <w:lang w:val="en-GB"/>
        </w:rPr>
        <w:t>Moderate</w:t>
      </w:r>
      <w:r w:rsidR="003F6CAE">
        <w:rPr>
          <w:lang w:val="en-GB"/>
        </w:rPr>
        <w:t xml:space="preserve"> c</w:t>
      </w:r>
      <w:r w:rsidR="00C12665">
        <w:rPr>
          <w:lang w:val="en-GB"/>
        </w:rPr>
        <w:t xml:space="preserve">erebral </w:t>
      </w:r>
      <w:r w:rsidRPr="004048A5">
        <w:rPr>
          <w:lang w:val="en-GB"/>
        </w:rPr>
        <w:t>disability</w:t>
      </w:r>
      <w:r w:rsidR="004048A5" w:rsidRPr="004048A5">
        <w:rPr>
          <w:lang w:val="en-GB"/>
        </w:rPr>
        <w:t xml:space="preserve"> (</w:t>
      </w:r>
      <w:r w:rsidR="004048A5">
        <w:rPr>
          <w:lang w:val="en-GB"/>
        </w:rPr>
        <w:t>c</w:t>
      </w:r>
      <w:r w:rsidRPr="004048A5">
        <w:rPr>
          <w:lang w:val="en-GB"/>
        </w:rPr>
        <w:t>onscious, with sufficient cerebral function for part-time work in sheltered environment or to do independent activities of daily life (eg, dress, travel by public transportation, prepare food)</w:t>
      </w:r>
      <w:r w:rsidR="009D6C03">
        <w:rPr>
          <w:lang w:val="en-GB"/>
        </w:rPr>
        <w:t>, m</w:t>
      </w:r>
      <w:r w:rsidRPr="00A703CB">
        <w:rPr>
          <w:lang w:val="en-GB"/>
        </w:rPr>
        <w:t>ay have hemiplegia, seizures, ataxia, dysarthria, dysphasia, or permanent memory or mental changes</w:t>
      </w:r>
      <w:r w:rsidR="009D6C03">
        <w:rPr>
          <w:lang w:val="en-GB"/>
        </w:rPr>
        <w:t>)</w:t>
      </w:r>
    </w:p>
    <w:p w14:paraId="4884DEAE" w14:textId="76321C96" w:rsidR="00787021" w:rsidRPr="00AB5BD5" w:rsidRDefault="00126AF3" w:rsidP="00ED615B">
      <w:pPr>
        <w:pStyle w:val="ListParagraph"/>
        <w:numPr>
          <w:ilvl w:val="0"/>
          <w:numId w:val="8"/>
        </w:numPr>
        <w:spacing w:after="120"/>
        <w:ind w:left="714" w:hanging="357"/>
        <w:contextualSpacing w:val="0"/>
        <w:jc w:val="both"/>
        <w:rPr>
          <w:lang w:val="en-GB"/>
        </w:rPr>
      </w:pPr>
      <w:r w:rsidRPr="00510957">
        <w:rPr>
          <w:lang w:val="en-GB"/>
        </w:rPr>
        <w:t>Severe</w:t>
      </w:r>
      <w:r w:rsidR="003F6CAE">
        <w:rPr>
          <w:lang w:val="en-GB"/>
        </w:rPr>
        <w:t xml:space="preserve"> cerebral</w:t>
      </w:r>
      <w:r w:rsidRPr="00510957">
        <w:rPr>
          <w:lang w:val="en-GB"/>
        </w:rPr>
        <w:t xml:space="preserve"> disability</w:t>
      </w:r>
      <w:r w:rsidR="000F6E50" w:rsidRPr="00510957">
        <w:rPr>
          <w:lang w:val="en-GB"/>
        </w:rPr>
        <w:t xml:space="preserve"> (c</w:t>
      </w:r>
      <w:r w:rsidRPr="00510957">
        <w:rPr>
          <w:lang w:val="en-GB"/>
        </w:rPr>
        <w:t>onscious, but dependent on others for daily support (in an institution or at home with exceptional family effort). Has at least limited cognition</w:t>
      </w:r>
      <w:r w:rsidR="000F6E50" w:rsidRPr="00510957">
        <w:rPr>
          <w:lang w:val="en-GB"/>
        </w:rPr>
        <w:t>. I</w:t>
      </w:r>
      <w:r w:rsidRPr="00510957">
        <w:rPr>
          <w:lang w:val="en-GB"/>
        </w:rPr>
        <w:t xml:space="preserve">ncludes a </w:t>
      </w:r>
      <w:r w:rsidRPr="00510957">
        <w:rPr>
          <w:lang w:val="en-GB"/>
        </w:rPr>
        <w:lastRenderedPageBreak/>
        <w:t>wide range of neurologic dysfunction, from patients who are ambulatory but have severe memory disturbances or dementia precluding independent existence to those who are paralyzed and can communicate only with their eyes (as in the locked-in syndrome)</w:t>
      </w:r>
      <w:r w:rsidR="00510957">
        <w:rPr>
          <w:lang w:val="en-GB"/>
        </w:rPr>
        <w:t>.</w:t>
      </w:r>
    </w:p>
    <w:p w14:paraId="020E617B" w14:textId="07309DF4" w:rsidR="00787021" w:rsidRPr="00AB5BD5" w:rsidRDefault="00126AF3" w:rsidP="00ED615B">
      <w:pPr>
        <w:pStyle w:val="ListParagraph"/>
        <w:numPr>
          <w:ilvl w:val="0"/>
          <w:numId w:val="8"/>
        </w:numPr>
        <w:spacing w:after="120"/>
        <w:ind w:left="714" w:hanging="357"/>
        <w:contextualSpacing w:val="0"/>
        <w:jc w:val="both"/>
        <w:rPr>
          <w:lang w:val="en-GB"/>
        </w:rPr>
      </w:pPr>
      <w:r w:rsidRPr="0034485B">
        <w:rPr>
          <w:lang w:val="en-GB"/>
        </w:rPr>
        <w:t xml:space="preserve">Unconscious </w:t>
      </w:r>
      <w:r w:rsidR="0053786F" w:rsidRPr="0034485B">
        <w:rPr>
          <w:lang w:val="en-GB"/>
        </w:rPr>
        <w:t>(coma or vegetative state</w:t>
      </w:r>
      <w:r w:rsidRPr="0034485B">
        <w:rPr>
          <w:lang w:val="en-GB"/>
        </w:rPr>
        <w:t>, unaware of surroundings, no cognition. No verbal or psychologic interaction with environment</w:t>
      </w:r>
      <w:r w:rsidR="0034485B" w:rsidRPr="0034485B">
        <w:rPr>
          <w:lang w:val="en-GB"/>
        </w:rPr>
        <w:t>).</w:t>
      </w:r>
    </w:p>
    <w:p w14:paraId="53553E4A" w14:textId="62B2106A" w:rsidR="00126AF3" w:rsidRPr="00787021" w:rsidRDefault="0034485B" w:rsidP="00ED615B">
      <w:pPr>
        <w:pStyle w:val="ListParagraph"/>
        <w:numPr>
          <w:ilvl w:val="0"/>
          <w:numId w:val="8"/>
        </w:numPr>
        <w:ind w:left="714" w:hanging="357"/>
        <w:jc w:val="both"/>
        <w:rPr>
          <w:lang w:val="en-GB"/>
        </w:rPr>
      </w:pPr>
      <w:r w:rsidRPr="0034485B">
        <w:rPr>
          <w:lang w:val="en-GB"/>
        </w:rPr>
        <w:t>Death (</w:t>
      </w:r>
      <w:r>
        <w:rPr>
          <w:lang w:val="en-GB"/>
        </w:rPr>
        <w:t>m</w:t>
      </w:r>
      <w:r w:rsidR="00126AF3" w:rsidRPr="0034485B">
        <w:rPr>
          <w:lang w:val="en-GB"/>
        </w:rPr>
        <w:t>eeting criteria for brain death or dead by traditional criteria</w:t>
      </w:r>
      <w:r>
        <w:rPr>
          <w:lang w:val="en-GB"/>
        </w:rPr>
        <w:t>)</w:t>
      </w:r>
    </w:p>
    <w:p w14:paraId="1A8CEBD4" w14:textId="566F26F3" w:rsidR="00313D8B" w:rsidRDefault="00D230C2" w:rsidP="00ED615B">
      <w:pPr>
        <w:pStyle w:val="Heading1"/>
        <w:numPr>
          <w:ilvl w:val="0"/>
          <w:numId w:val="4"/>
        </w:numPr>
        <w:spacing w:after="120"/>
        <w:ind w:left="284"/>
        <w:jc w:val="both"/>
        <w:rPr>
          <w:lang w:val="en-GB"/>
        </w:rPr>
      </w:pPr>
      <w:bookmarkStart w:id="11" w:name="_Toc135039237"/>
      <w:r w:rsidRPr="00D230C2">
        <w:rPr>
          <w:lang w:val="en-GB"/>
        </w:rPr>
        <w:t>The EuroQol Health Survey 5 Dimensions, The 5 Levels Response</w:t>
      </w:r>
      <w:r w:rsidR="00553B0A">
        <w:rPr>
          <w:lang w:val="en-GB"/>
        </w:rPr>
        <w:t xml:space="preserve"> </w:t>
      </w:r>
      <w:r w:rsidRPr="00553B0A">
        <w:rPr>
          <w:lang w:val="en-GB"/>
        </w:rPr>
        <w:t>Version</w:t>
      </w:r>
      <w:r w:rsidR="00553B0A" w:rsidRPr="00553B0A">
        <w:rPr>
          <w:lang w:val="en-GB"/>
        </w:rPr>
        <w:t xml:space="preserve"> </w:t>
      </w:r>
      <w:r w:rsidR="00553B0A">
        <w:rPr>
          <w:lang w:val="en-GB"/>
        </w:rPr>
        <w:t>(EQ-5D-5L)</w:t>
      </w:r>
      <w:bookmarkEnd w:id="11"/>
    </w:p>
    <w:p w14:paraId="0E9C51FB" w14:textId="6382801A" w:rsidR="00215479" w:rsidRPr="00215479" w:rsidRDefault="00215479" w:rsidP="00ED615B">
      <w:pPr>
        <w:jc w:val="both"/>
        <w:rPr>
          <w:lang w:val="en-GB"/>
        </w:rPr>
      </w:pPr>
      <w:r w:rsidRPr="00215479">
        <w:rPr>
          <w:lang w:val="en-GB"/>
        </w:rPr>
        <w:t>The EQ-5D-5L is a standardized measure of health-related quality of life consisting of five</w:t>
      </w:r>
      <w:r>
        <w:rPr>
          <w:lang w:val="en-GB"/>
        </w:rPr>
        <w:t xml:space="preserve"> </w:t>
      </w:r>
      <w:r w:rsidRPr="00215479">
        <w:rPr>
          <w:lang w:val="en-GB"/>
        </w:rPr>
        <w:t>dimensions (mobility, self-care, usual activities, pain/discomfort, anxiety/depression), and a</w:t>
      </w:r>
      <w:r>
        <w:rPr>
          <w:lang w:val="en-GB"/>
        </w:rPr>
        <w:t xml:space="preserve"> </w:t>
      </w:r>
      <w:r w:rsidRPr="00215479">
        <w:rPr>
          <w:lang w:val="en-GB"/>
        </w:rPr>
        <w:t>VAS scale of overall self-reported health.</w:t>
      </w:r>
      <w:r w:rsidR="004817E3">
        <w:rPr>
          <w:lang w:val="en-GB"/>
        </w:rPr>
        <w:t xml:space="preserve"> </w:t>
      </w:r>
      <w:r w:rsidR="004817E3" w:rsidRPr="004817E3">
        <w:rPr>
          <w:lang w:val="en-GB"/>
        </w:rPr>
        <w:t>The EQ-5D-5L could be interpreted descriptively as a health profile by the answers of each</w:t>
      </w:r>
      <w:r w:rsidR="004817E3">
        <w:rPr>
          <w:lang w:val="en-GB"/>
        </w:rPr>
        <w:t xml:space="preserve"> </w:t>
      </w:r>
      <w:r w:rsidR="004817E3" w:rsidRPr="004817E3">
        <w:rPr>
          <w:lang w:val="en-GB"/>
        </w:rPr>
        <w:t>dimension that range from no problems to extreme problems. The EQ-5D-5L could also be</w:t>
      </w:r>
      <w:r w:rsidR="004817E3">
        <w:rPr>
          <w:lang w:val="en-GB"/>
        </w:rPr>
        <w:t xml:space="preserve"> </w:t>
      </w:r>
      <w:r w:rsidR="004817E3" w:rsidRPr="004817E3">
        <w:rPr>
          <w:lang w:val="en-GB"/>
        </w:rPr>
        <w:t>converted into a single index value of health. The index value may be used to calculate Quality</w:t>
      </w:r>
      <w:r w:rsidR="00017711">
        <w:rPr>
          <w:lang w:val="en-GB"/>
        </w:rPr>
        <w:t xml:space="preserve"> </w:t>
      </w:r>
      <w:r w:rsidR="004817E3" w:rsidRPr="004817E3">
        <w:rPr>
          <w:lang w:val="en-GB"/>
        </w:rPr>
        <w:t>Adjusted life years (QALYs).</w:t>
      </w:r>
      <w:r w:rsidR="00454EAE">
        <w:rPr>
          <w:lang w:val="en-GB"/>
        </w:rPr>
        <w:t xml:space="preserve"> </w:t>
      </w:r>
      <w:r w:rsidR="004817E3" w:rsidRPr="004817E3">
        <w:rPr>
          <w:lang w:val="en-GB"/>
        </w:rPr>
        <w:t xml:space="preserve">The EQ VAS score is not included in the EQ-5D-5L </w:t>
      </w:r>
      <w:r w:rsidR="000270C3" w:rsidRPr="004817E3">
        <w:rPr>
          <w:lang w:val="en-GB"/>
        </w:rPr>
        <w:t>scoring but</w:t>
      </w:r>
      <w:r w:rsidR="004817E3" w:rsidRPr="004817E3">
        <w:rPr>
          <w:lang w:val="en-GB"/>
        </w:rPr>
        <w:t xml:space="preserve"> is interpreted separately. In</w:t>
      </w:r>
      <w:r w:rsidR="00454EAE">
        <w:rPr>
          <w:lang w:val="en-GB"/>
        </w:rPr>
        <w:t xml:space="preserve"> </w:t>
      </w:r>
      <w:r w:rsidR="004817E3" w:rsidRPr="004817E3">
        <w:rPr>
          <w:lang w:val="en-GB"/>
        </w:rPr>
        <w:t>general, a score of &gt;70 on the VAS scale is considered to indicate no health problems.</w:t>
      </w:r>
      <w:r w:rsidR="00EC1307" w:rsidRPr="00EC1307">
        <w:rPr>
          <w:lang w:val="en-GB"/>
        </w:rPr>
        <w:t xml:space="preserve"> </w:t>
      </w:r>
      <w:r w:rsidR="00EC1307" w:rsidRPr="004817E3">
        <w:rPr>
          <w:lang w:val="en-GB"/>
        </w:rPr>
        <w:t xml:space="preserve">For further information </w:t>
      </w:r>
      <w:r w:rsidR="00EC1307">
        <w:rPr>
          <w:lang w:val="en-GB"/>
        </w:rPr>
        <w:t>see</w:t>
      </w:r>
      <w:r w:rsidR="00EC1307" w:rsidRPr="004817E3">
        <w:rPr>
          <w:lang w:val="en-GB"/>
        </w:rPr>
        <w:t xml:space="preserve"> </w:t>
      </w:r>
      <w:hyperlink r:id="rId16" w:history="1">
        <w:r w:rsidR="00EC1307" w:rsidRPr="00821F7E">
          <w:rPr>
            <w:rStyle w:val="Hyperlink"/>
            <w:lang w:val="en-GB"/>
          </w:rPr>
          <w:t>https://euroqol.org/</w:t>
        </w:r>
      </w:hyperlink>
    </w:p>
    <w:p w14:paraId="018E9378" w14:textId="528AB360" w:rsidR="0026254A" w:rsidRPr="004D245B" w:rsidRDefault="0026254A" w:rsidP="00ED615B">
      <w:pPr>
        <w:pStyle w:val="Heading2"/>
        <w:spacing w:before="120" w:after="120"/>
        <w:ind w:left="426"/>
        <w:jc w:val="both"/>
        <w:rPr>
          <w:color w:val="000000" w:themeColor="text1"/>
          <w:lang w:val="en-GB"/>
        </w:rPr>
      </w:pPr>
      <w:r>
        <w:rPr>
          <w:color w:val="000000" w:themeColor="text1"/>
          <w:lang w:val="en-GB"/>
        </w:rPr>
        <w:t>8</w:t>
      </w:r>
      <w:r w:rsidRPr="004D245B">
        <w:rPr>
          <w:color w:val="000000" w:themeColor="text1"/>
          <w:lang w:val="en-GB"/>
        </w:rPr>
        <w:t xml:space="preserve">.1 </w:t>
      </w:r>
      <w:r w:rsidR="0084725D">
        <w:rPr>
          <w:color w:val="000000" w:themeColor="text1"/>
          <w:lang w:val="en-GB"/>
        </w:rPr>
        <w:t>Instructions for EQ-5D-5L questionnaire</w:t>
      </w:r>
    </w:p>
    <w:p w14:paraId="5C4C8027" w14:textId="5A73680D" w:rsidR="00215479" w:rsidRPr="00215479" w:rsidRDefault="00215479" w:rsidP="00ED615B">
      <w:pPr>
        <w:ind w:left="426"/>
        <w:jc w:val="both"/>
        <w:rPr>
          <w:lang w:val="en-GB"/>
        </w:rPr>
      </w:pPr>
      <w:r w:rsidRPr="00215479">
        <w:rPr>
          <w:lang w:val="en-GB"/>
        </w:rPr>
        <w:t xml:space="preserve">1. </w:t>
      </w:r>
      <w:r w:rsidR="00690633">
        <w:rPr>
          <w:lang w:val="en-GB"/>
        </w:rPr>
        <w:t>E</w:t>
      </w:r>
      <w:r w:rsidRPr="00215479">
        <w:rPr>
          <w:lang w:val="en-GB"/>
        </w:rPr>
        <w:t>xplain to the patient that you would like to know more</w:t>
      </w:r>
      <w:r w:rsidR="007D16D0">
        <w:rPr>
          <w:lang w:val="en-GB"/>
        </w:rPr>
        <w:t xml:space="preserve"> </w:t>
      </w:r>
      <w:r w:rsidRPr="00215479">
        <w:rPr>
          <w:lang w:val="en-GB"/>
        </w:rPr>
        <w:t>about how they perceive their health.</w:t>
      </w:r>
    </w:p>
    <w:p w14:paraId="7DDD3E71" w14:textId="77777777" w:rsidR="00215479" w:rsidRPr="00215479" w:rsidRDefault="00215479" w:rsidP="00ED615B">
      <w:pPr>
        <w:ind w:left="426"/>
        <w:jc w:val="both"/>
        <w:rPr>
          <w:lang w:val="en-GB"/>
        </w:rPr>
      </w:pPr>
      <w:r w:rsidRPr="00215479">
        <w:rPr>
          <w:lang w:val="en-GB"/>
        </w:rPr>
        <w:t>2. Give the patient the paper version of the EQ-5D-5L.</w:t>
      </w:r>
    </w:p>
    <w:p w14:paraId="4DAD499F" w14:textId="77777777" w:rsidR="006F15B8" w:rsidRDefault="00215479" w:rsidP="00ED615B">
      <w:pPr>
        <w:ind w:left="426"/>
        <w:jc w:val="both"/>
        <w:rPr>
          <w:lang w:val="en-GB"/>
        </w:rPr>
      </w:pPr>
      <w:r w:rsidRPr="00215479">
        <w:rPr>
          <w:lang w:val="en-GB"/>
        </w:rPr>
        <w:t xml:space="preserve">3. Turn to the second page with the five dimensions and explain; </w:t>
      </w:r>
      <w:r w:rsidR="00243F3C">
        <w:rPr>
          <w:i/>
          <w:iCs/>
          <w:lang w:val="en-GB"/>
        </w:rPr>
        <w:t>“</w:t>
      </w:r>
      <w:r w:rsidRPr="00690633">
        <w:rPr>
          <w:i/>
          <w:iCs/>
          <w:lang w:val="en-GB"/>
        </w:rPr>
        <w:t>Under each heading,</w:t>
      </w:r>
      <w:r w:rsidR="007D16D0" w:rsidRPr="00690633">
        <w:rPr>
          <w:i/>
          <w:iCs/>
          <w:lang w:val="en-GB"/>
        </w:rPr>
        <w:t xml:space="preserve"> </w:t>
      </w:r>
      <w:r w:rsidRPr="00690633">
        <w:rPr>
          <w:i/>
          <w:iCs/>
          <w:lang w:val="en-GB"/>
        </w:rPr>
        <w:t>please tick the ONE box that best describes your health TODAY”</w:t>
      </w:r>
      <w:r w:rsidRPr="00215479">
        <w:rPr>
          <w:lang w:val="en-GB"/>
        </w:rPr>
        <w:t>. Explain that only one tick</w:t>
      </w:r>
      <w:r w:rsidR="007D16D0">
        <w:rPr>
          <w:lang w:val="en-GB"/>
        </w:rPr>
        <w:t xml:space="preserve"> </w:t>
      </w:r>
      <w:r w:rsidRPr="00215479">
        <w:rPr>
          <w:lang w:val="en-GB"/>
        </w:rPr>
        <w:t>per heading (dimension) is allowed. You are allowed to read the items and the answers</w:t>
      </w:r>
      <w:r w:rsidR="007D16D0">
        <w:rPr>
          <w:lang w:val="en-GB"/>
        </w:rPr>
        <w:t xml:space="preserve"> </w:t>
      </w:r>
      <w:r w:rsidRPr="00215479">
        <w:rPr>
          <w:lang w:val="en-GB"/>
        </w:rPr>
        <w:t xml:space="preserve">to the patient if needed, but neither you nor the </w:t>
      </w:r>
      <w:r w:rsidR="00035F82">
        <w:rPr>
          <w:lang w:val="en-GB"/>
        </w:rPr>
        <w:t>person accompanying the patient</w:t>
      </w:r>
      <w:r w:rsidRPr="00215479">
        <w:rPr>
          <w:lang w:val="en-GB"/>
        </w:rPr>
        <w:t xml:space="preserve"> are allowed to help</w:t>
      </w:r>
      <w:r w:rsidR="007D16D0">
        <w:rPr>
          <w:lang w:val="en-GB"/>
        </w:rPr>
        <w:t xml:space="preserve"> </w:t>
      </w:r>
      <w:r w:rsidRPr="00215479">
        <w:rPr>
          <w:lang w:val="en-GB"/>
        </w:rPr>
        <w:t>or discuss their answer. You might need to clarify that they</w:t>
      </w:r>
      <w:r w:rsidR="007D16D0">
        <w:rPr>
          <w:lang w:val="en-GB"/>
        </w:rPr>
        <w:t xml:space="preserve"> </w:t>
      </w:r>
      <w:r w:rsidRPr="00215479">
        <w:rPr>
          <w:lang w:val="en-GB"/>
        </w:rPr>
        <w:t>should answer each item based on what he/she think each items means, and that there</w:t>
      </w:r>
      <w:r w:rsidR="007D16D0">
        <w:rPr>
          <w:lang w:val="en-GB"/>
        </w:rPr>
        <w:t xml:space="preserve"> </w:t>
      </w:r>
      <w:r w:rsidRPr="00215479">
        <w:rPr>
          <w:lang w:val="en-GB"/>
        </w:rPr>
        <w:t>are no right or wrong answers.</w:t>
      </w:r>
      <w:r w:rsidR="006F15B8" w:rsidRPr="006F15B8">
        <w:rPr>
          <w:lang w:val="en-GB"/>
        </w:rPr>
        <w:t xml:space="preserve"> </w:t>
      </w:r>
    </w:p>
    <w:p w14:paraId="2547EA20" w14:textId="7375C848" w:rsidR="00215479" w:rsidRPr="00215479" w:rsidRDefault="006F15B8" w:rsidP="00ED615B">
      <w:pPr>
        <w:ind w:left="426"/>
        <w:jc w:val="both"/>
        <w:rPr>
          <w:lang w:val="en-GB"/>
        </w:rPr>
      </w:pPr>
      <w:r w:rsidRPr="00696CE9">
        <w:rPr>
          <w:lang w:val="en-GB"/>
        </w:rPr>
        <w:t>If the patient is not able to complete the EQ-5D-5L due to cognitive disability, the</w:t>
      </w:r>
      <w:r>
        <w:rPr>
          <w:lang w:val="en-GB"/>
        </w:rPr>
        <w:t xml:space="preserve"> person accompanying the patient</w:t>
      </w:r>
      <w:r w:rsidRPr="00696CE9">
        <w:rPr>
          <w:lang w:val="en-GB"/>
        </w:rPr>
        <w:t xml:space="preserve"> may assist, but this must be noted in the comments field in the eCRF.</w:t>
      </w:r>
      <w:r>
        <w:rPr>
          <w:lang w:val="en-GB"/>
        </w:rPr>
        <w:t xml:space="preserve"> </w:t>
      </w:r>
      <w:r w:rsidRPr="00696CE9">
        <w:rPr>
          <w:lang w:val="en-GB"/>
        </w:rPr>
        <w:t>If there is an obvious reason for concern that the patient has provided a response that may</w:t>
      </w:r>
      <w:r>
        <w:rPr>
          <w:lang w:val="en-GB"/>
        </w:rPr>
        <w:t xml:space="preserve"> </w:t>
      </w:r>
      <w:r w:rsidRPr="00696CE9">
        <w:rPr>
          <w:lang w:val="en-GB"/>
        </w:rPr>
        <w:t>not be accurate e.g. the patient actually lives in a nursing home but the patient states that</w:t>
      </w:r>
      <w:r>
        <w:rPr>
          <w:lang w:val="en-GB"/>
        </w:rPr>
        <w:t xml:space="preserve"> </w:t>
      </w:r>
      <w:r w:rsidRPr="00696CE9">
        <w:rPr>
          <w:lang w:val="en-GB"/>
        </w:rPr>
        <w:t xml:space="preserve">they have no problems doing their usual activities, or when the </w:t>
      </w:r>
      <w:r>
        <w:rPr>
          <w:lang w:val="en-GB"/>
        </w:rPr>
        <w:t>person accompanying the patient</w:t>
      </w:r>
      <w:r w:rsidRPr="00696CE9">
        <w:rPr>
          <w:lang w:val="en-GB"/>
        </w:rPr>
        <w:t xml:space="preserve"> does not</w:t>
      </w:r>
      <w:r>
        <w:rPr>
          <w:lang w:val="en-GB"/>
        </w:rPr>
        <w:t xml:space="preserve"> </w:t>
      </w:r>
      <w:r w:rsidRPr="00696CE9">
        <w:rPr>
          <w:lang w:val="en-GB"/>
        </w:rPr>
        <w:t>agree with the patients answe</w:t>
      </w:r>
      <w:r>
        <w:rPr>
          <w:lang w:val="en-GB"/>
        </w:rPr>
        <w:t>r, this person</w:t>
      </w:r>
      <w:r w:rsidRPr="00696CE9">
        <w:rPr>
          <w:lang w:val="en-GB"/>
        </w:rPr>
        <w:t xml:space="preserve"> may also complete their own version of the</w:t>
      </w:r>
      <w:r>
        <w:rPr>
          <w:lang w:val="en-GB"/>
        </w:rPr>
        <w:t xml:space="preserve"> </w:t>
      </w:r>
      <w:r w:rsidRPr="00696CE9">
        <w:rPr>
          <w:lang w:val="en-GB"/>
        </w:rPr>
        <w:t>EQ-5D-5L based on their perception of the patient’s health, in addition to the version</w:t>
      </w:r>
      <w:r>
        <w:rPr>
          <w:lang w:val="en-GB"/>
        </w:rPr>
        <w:t xml:space="preserve"> </w:t>
      </w:r>
      <w:r w:rsidRPr="00696CE9">
        <w:rPr>
          <w:lang w:val="en-GB"/>
        </w:rPr>
        <w:t>completed by the patient</w:t>
      </w:r>
    </w:p>
    <w:p w14:paraId="7242D958" w14:textId="5E759569" w:rsidR="007220AF" w:rsidRPr="004164D5" w:rsidRDefault="00215479" w:rsidP="00ED615B">
      <w:pPr>
        <w:ind w:left="426"/>
        <w:jc w:val="both"/>
        <w:rPr>
          <w:lang w:val="en-GB"/>
        </w:rPr>
      </w:pPr>
      <w:r w:rsidRPr="00215479">
        <w:rPr>
          <w:lang w:val="en-GB"/>
        </w:rPr>
        <w:t xml:space="preserve">4. When all 5 dimensions are completed, turn to the next </w:t>
      </w:r>
      <w:proofErr w:type="gramStart"/>
      <w:r w:rsidRPr="00215479">
        <w:rPr>
          <w:lang w:val="en-GB"/>
        </w:rPr>
        <w:t>page</w:t>
      </w:r>
      <w:proofErr w:type="gramEnd"/>
      <w:r w:rsidRPr="00215479">
        <w:rPr>
          <w:lang w:val="en-GB"/>
        </w:rPr>
        <w:t xml:space="preserve"> and present the EQ VAS</w:t>
      </w:r>
      <w:r w:rsidR="00457671">
        <w:rPr>
          <w:lang w:val="en-GB"/>
        </w:rPr>
        <w:t xml:space="preserve"> </w:t>
      </w:r>
      <w:r w:rsidRPr="00215479">
        <w:rPr>
          <w:lang w:val="en-GB"/>
        </w:rPr>
        <w:t>scale for the patient. T</w:t>
      </w:r>
      <w:r w:rsidR="00DC6C3D">
        <w:rPr>
          <w:lang w:val="en-GB"/>
        </w:rPr>
        <w:t xml:space="preserve">ell the </w:t>
      </w:r>
      <w:proofErr w:type="gramStart"/>
      <w:r w:rsidR="00DC6C3D">
        <w:rPr>
          <w:lang w:val="en-GB"/>
        </w:rPr>
        <w:t>patient</w:t>
      </w:r>
      <w:r w:rsidRPr="00215479">
        <w:rPr>
          <w:lang w:val="en-GB"/>
        </w:rPr>
        <w:t xml:space="preserve"> </w:t>
      </w:r>
      <w:r w:rsidRPr="004164D5">
        <w:rPr>
          <w:i/>
          <w:iCs/>
          <w:lang w:val="en-GB"/>
        </w:rPr>
        <w:t>”mark</w:t>
      </w:r>
      <w:proofErr w:type="gramEnd"/>
      <w:r w:rsidRPr="004164D5">
        <w:rPr>
          <w:i/>
          <w:iCs/>
          <w:lang w:val="en-GB"/>
        </w:rPr>
        <w:t xml:space="preserve"> an X on the scale to indicate how your</w:t>
      </w:r>
      <w:r w:rsidR="00457671" w:rsidRPr="004164D5">
        <w:rPr>
          <w:i/>
          <w:iCs/>
          <w:lang w:val="en-GB"/>
        </w:rPr>
        <w:t xml:space="preserve"> </w:t>
      </w:r>
      <w:r w:rsidRPr="004164D5">
        <w:rPr>
          <w:i/>
          <w:iCs/>
          <w:lang w:val="en-GB"/>
        </w:rPr>
        <w:t>health is TODAY”</w:t>
      </w:r>
      <w:r w:rsidRPr="00215479">
        <w:rPr>
          <w:lang w:val="en-GB"/>
        </w:rPr>
        <w:t xml:space="preserve"> and then </w:t>
      </w:r>
      <w:r w:rsidRPr="004164D5">
        <w:rPr>
          <w:i/>
          <w:iCs/>
          <w:lang w:val="en-GB"/>
        </w:rPr>
        <w:t>”write the number you marked on the scale in the box below”.</w:t>
      </w:r>
    </w:p>
    <w:p w14:paraId="3E74B64B" w14:textId="38A9466D" w:rsidR="00696CE9" w:rsidRDefault="00696CE9" w:rsidP="00ED615B">
      <w:pPr>
        <w:jc w:val="both"/>
        <w:rPr>
          <w:lang w:val="en-GB"/>
        </w:rPr>
      </w:pPr>
      <w:r w:rsidRPr="00696CE9">
        <w:rPr>
          <w:lang w:val="en-GB"/>
        </w:rPr>
        <w:t>If data</w:t>
      </w:r>
      <w:r w:rsidR="00DC1278">
        <w:rPr>
          <w:lang w:val="en-GB"/>
        </w:rPr>
        <w:t xml:space="preserve"> on EQ-5D-5L</w:t>
      </w:r>
      <w:r w:rsidRPr="00696CE9">
        <w:rPr>
          <w:lang w:val="en-GB"/>
        </w:rPr>
        <w:t xml:space="preserve"> is totally missing, describe in the comments field potential reasons why the patient</w:t>
      </w:r>
      <w:r w:rsidR="009057FE">
        <w:rPr>
          <w:lang w:val="en-GB"/>
        </w:rPr>
        <w:t xml:space="preserve"> </w:t>
      </w:r>
      <w:r w:rsidRPr="00696CE9">
        <w:rPr>
          <w:lang w:val="en-GB"/>
        </w:rPr>
        <w:t>was unable to answer, and if this was related or unrelated to their health.</w:t>
      </w:r>
    </w:p>
    <w:p w14:paraId="7F710AFA" w14:textId="25426865" w:rsidR="00EC1307" w:rsidRPr="007220AF" w:rsidRDefault="00943FD2" w:rsidP="00ED615B">
      <w:pPr>
        <w:ind w:left="284" w:hanging="284"/>
        <w:jc w:val="both"/>
        <w:rPr>
          <w:lang w:val="en-GB"/>
        </w:rPr>
      </w:pPr>
      <w:commentRangeStart w:id="12"/>
      <w:r>
        <w:rPr>
          <w:lang w:val="en-GB"/>
        </w:rPr>
        <w:lastRenderedPageBreak/>
        <w:t>S</w:t>
      </w:r>
      <w:r w:rsidR="002C0F57">
        <w:rPr>
          <w:lang w:val="en-GB"/>
        </w:rPr>
        <w:t>tore</w:t>
      </w:r>
      <w:r>
        <w:rPr>
          <w:lang w:val="en-GB"/>
        </w:rPr>
        <w:t xml:space="preserve"> the paperversion of the EQ-5D-5L </w:t>
      </w:r>
      <w:r w:rsidR="002C0F57">
        <w:rPr>
          <w:lang w:val="en-GB"/>
        </w:rPr>
        <w:t xml:space="preserve">according </w:t>
      </w:r>
      <w:r>
        <w:rPr>
          <w:lang w:val="en-GB"/>
        </w:rPr>
        <w:t>to…</w:t>
      </w:r>
      <w:commentRangeEnd w:id="12"/>
      <w:r w:rsidR="009B428E">
        <w:rPr>
          <w:rStyle w:val="CommentReference"/>
        </w:rPr>
        <w:commentReference w:id="12"/>
      </w:r>
    </w:p>
    <w:sectPr w:rsidR="00EC1307" w:rsidRPr="007220AF" w:rsidSect="00CF24D5">
      <w:headerReference w:type="default" r:id="rId17"/>
      <w:footerReference w:type="default" r:id="rId18"/>
      <w:pgSz w:w="11906" w:h="16838"/>
      <w:pgMar w:top="226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melie Dillenbeck" w:date="2023-04-26T14:43:00Z" w:initials="ED">
    <w:p w14:paraId="5D7D0755" w14:textId="77777777" w:rsidR="00D437A2" w:rsidRDefault="00D437A2" w:rsidP="005A2803">
      <w:pPr>
        <w:pStyle w:val="CommentText"/>
      </w:pPr>
      <w:r>
        <w:rPr>
          <w:rStyle w:val="CommentReference"/>
        </w:rPr>
        <w:annotationRef/>
      </w:r>
      <w:r>
        <w:t>Alltså, vi har ju inte skrivit något i protokollet om hur detta ska gå till annat än att det ska vara av en blindad person. Detta har jag bara "hittat på", skriv gärna om</w:t>
      </w:r>
    </w:p>
  </w:comment>
  <w:comment w:id="6" w:author="Emelie Dillenbeck" w:date="2023-05-11T13:14:00Z" w:initials="ED">
    <w:p w14:paraId="2EB407C1" w14:textId="77777777" w:rsidR="00746740" w:rsidRDefault="00746740" w:rsidP="00AA60DF">
      <w:pPr>
        <w:pStyle w:val="CommentText"/>
      </w:pPr>
      <w:r>
        <w:rPr>
          <w:rStyle w:val="CommentReference"/>
        </w:rPr>
        <w:annotationRef/>
      </w:r>
      <w:r>
        <w:t>Eller?</w:t>
      </w:r>
    </w:p>
  </w:comment>
  <w:comment w:id="12" w:author="Emelie Dillenbeck" w:date="2023-05-15T10:51:00Z" w:initials="ED">
    <w:p w14:paraId="14415319" w14:textId="77777777" w:rsidR="002C0F57" w:rsidRDefault="009B428E" w:rsidP="0065244B">
      <w:pPr>
        <w:pStyle w:val="CommentText"/>
      </w:pPr>
      <w:r>
        <w:rPr>
          <w:rStyle w:val="CommentReference"/>
        </w:rPr>
        <w:annotationRef/>
      </w:r>
      <w:r w:rsidR="002C0F57">
        <w:t>Ska väl lagras på respektive site som allt annat material?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7D0755" w15:done="0"/>
  <w15:commentEx w15:paraId="2EB407C1" w15:done="0"/>
  <w15:commentEx w15:paraId="144153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3B702" w16cex:dateUtc="2023-04-26T12:43:00Z"/>
  <w16cex:commentExtensible w16cex:durableId="280768B9" w16cex:dateUtc="2023-05-11T11:14:00Z"/>
  <w16cex:commentExtensible w16cex:durableId="280C8D4E" w16cex:dateUtc="2023-05-15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D0755" w16cid:durableId="27F3B702"/>
  <w16cid:commentId w16cid:paraId="2EB407C1" w16cid:durableId="280768B9"/>
  <w16cid:commentId w16cid:paraId="14415319" w16cid:durableId="280C8D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6DD6" w14:textId="77777777" w:rsidR="00D87528" w:rsidRDefault="00D87528" w:rsidP="00703919">
      <w:pPr>
        <w:spacing w:after="0" w:line="240" w:lineRule="auto"/>
      </w:pPr>
      <w:r>
        <w:separator/>
      </w:r>
    </w:p>
  </w:endnote>
  <w:endnote w:type="continuationSeparator" w:id="0">
    <w:p w14:paraId="4B6E1DF0" w14:textId="77777777" w:rsidR="00D87528" w:rsidRDefault="00D87528" w:rsidP="0070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321889"/>
      <w:docPartObj>
        <w:docPartGallery w:val="Page Numbers (Bottom of Page)"/>
        <w:docPartUnique/>
      </w:docPartObj>
    </w:sdtPr>
    <w:sdtEndPr/>
    <w:sdtContent>
      <w:p w14:paraId="186FFE4A" w14:textId="5E9F0385" w:rsidR="00703919" w:rsidRDefault="00703919">
        <w:pPr>
          <w:pStyle w:val="Footer"/>
          <w:jc w:val="right"/>
        </w:pPr>
        <w:r>
          <w:fldChar w:fldCharType="begin"/>
        </w:r>
        <w:r>
          <w:instrText>PAGE   \* MERGEFORMAT</w:instrText>
        </w:r>
        <w:r>
          <w:fldChar w:fldCharType="separate"/>
        </w:r>
        <w:r>
          <w:t>2</w:t>
        </w:r>
        <w:r>
          <w:fldChar w:fldCharType="end"/>
        </w:r>
      </w:p>
    </w:sdtContent>
  </w:sdt>
  <w:p w14:paraId="5D45A82F" w14:textId="77777777" w:rsidR="00703919" w:rsidRDefault="00703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8676" w14:textId="77777777" w:rsidR="00D87528" w:rsidRDefault="00D87528" w:rsidP="00703919">
      <w:pPr>
        <w:spacing w:after="0" w:line="240" w:lineRule="auto"/>
      </w:pPr>
      <w:r>
        <w:separator/>
      </w:r>
    </w:p>
  </w:footnote>
  <w:footnote w:type="continuationSeparator" w:id="0">
    <w:p w14:paraId="63861414" w14:textId="77777777" w:rsidR="00D87528" w:rsidRDefault="00D87528" w:rsidP="00703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1ED3" w14:textId="520E211D" w:rsidR="00CF24D5" w:rsidRDefault="00CF24D5">
    <w:pPr>
      <w:pStyle w:val="Header"/>
    </w:pPr>
    <w:r>
      <w:rPr>
        <w:noProof/>
      </w:rPr>
      <w:drawing>
        <wp:anchor distT="0" distB="0" distL="114300" distR="114300" simplePos="0" relativeHeight="251658240" behindDoc="0" locked="0" layoutInCell="1" allowOverlap="1" wp14:anchorId="4F7A0A65" wp14:editId="16D30045">
          <wp:simplePos x="0" y="0"/>
          <wp:positionH relativeFrom="margin">
            <wp:align>right</wp:align>
          </wp:positionH>
          <wp:positionV relativeFrom="paragraph">
            <wp:posOffset>8845</wp:posOffset>
          </wp:positionV>
          <wp:extent cx="2143125" cy="594360"/>
          <wp:effectExtent l="0" t="0" r="9525" b="0"/>
          <wp:wrapSquare wrapText="bothSides"/>
          <wp:docPr id="386053988" name="Picture 386053988"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01608" name="Picture 1"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94360"/>
                  </a:xfrm>
                  <a:prstGeom prst="rect">
                    <a:avLst/>
                  </a:prstGeom>
                  <a:noFill/>
                  <a:ln>
                    <a:noFill/>
                  </a:ln>
                </pic:spPr>
              </pic:pic>
            </a:graphicData>
          </a:graphic>
        </wp:anchor>
      </w:drawing>
    </w:r>
  </w:p>
  <w:p w14:paraId="7FF0B73E" w14:textId="77777777" w:rsidR="00CF24D5" w:rsidRDefault="00CF24D5">
    <w:pPr>
      <w:pStyle w:val="Header"/>
    </w:pPr>
  </w:p>
  <w:p w14:paraId="1D4C76B2" w14:textId="424AFE64" w:rsidR="00703919" w:rsidRDefault="00703919">
    <w:pPr>
      <w:pStyle w:val="Header"/>
    </w:pPr>
    <w:r>
      <w:t>Follow-up Manual 20230426</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0B7"/>
    <w:multiLevelType w:val="hybridMultilevel"/>
    <w:tmpl w:val="727C8668"/>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67D5167"/>
    <w:multiLevelType w:val="hybridMultilevel"/>
    <w:tmpl w:val="21028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0F73603"/>
    <w:multiLevelType w:val="hybridMultilevel"/>
    <w:tmpl w:val="04BE40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366187C"/>
    <w:multiLevelType w:val="hybridMultilevel"/>
    <w:tmpl w:val="542ED8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AA153F0"/>
    <w:multiLevelType w:val="hybridMultilevel"/>
    <w:tmpl w:val="EF10D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1605D43"/>
    <w:multiLevelType w:val="hybridMultilevel"/>
    <w:tmpl w:val="76CA9570"/>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5D867D4"/>
    <w:multiLevelType w:val="hybridMultilevel"/>
    <w:tmpl w:val="BCC68B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080706"/>
    <w:multiLevelType w:val="hybridMultilevel"/>
    <w:tmpl w:val="3F2ABC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65753072">
    <w:abstractNumId w:val="6"/>
  </w:num>
  <w:num w:numId="2" w16cid:durableId="673344707">
    <w:abstractNumId w:val="4"/>
  </w:num>
  <w:num w:numId="3" w16cid:durableId="1952974441">
    <w:abstractNumId w:val="3"/>
  </w:num>
  <w:num w:numId="4" w16cid:durableId="1500846099">
    <w:abstractNumId w:val="0"/>
  </w:num>
  <w:num w:numId="5" w16cid:durableId="492569512">
    <w:abstractNumId w:val="7"/>
  </w:num>
  <w:num w:numId="6" w16cid:durableId="2121028344">
    <w:abstractNumId w:val="5"/>
  </w:num>
  <w:num w:numId="7" w16cid:durableId="1062828694">
    <w:abstractNumId w:val="1"/>
  </w:num>
  <w:num w:numId="8" w16cid:durableId="19729753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elie Dillenbeck">
    <w15:presenceInfo w15:providerId="Windows Live" w15:userId="68a0ceaef999da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19"/>
    <w:rsid w:val="00006E9C"/>
    <w:rsid w:val="00017711"/>
    <w:rsid w:val="000270C3"/>
    <w:rsid w:val="0003390C"/>
    <w:rsid w:val="00035F82"/>
    <w:rsid w:val="000A1CD1"/>
    <w:rsid w:val="000A2F76"/>
    <w:rsid w:val="000B087C"/>
    <w:rsid w:val="000F6E50"/>
    <w:rsid w:val="00126AF3"/>
    <w:rsid w:val="00132FE4"/>
    <w:rsid w:val="0014353E"/>
    <w:rsid w:val="00152155"/>
    <w:rsid w:val="00165AEB"/>
    <w:rsid w:val="0016746E"/>
    <w:rsid w:val="001B457B"/>
    <w:rsid w:val="001B7279"/>
    <w:rsid w:val="001C1CEF"/>
    <w:rsid w:val="001C45E0"/>
    <w:rsid w:val="001E59BC"/>
    <w:rsid w:val="0020053A"/>
    <w:rsid w:val="00213ED3"/>
    <w:rsid w:val="00215479"/>
    <w:rsid w:val="00230FDA"/>
    <w:rsid w:val="00242296"/>
    <w:rsid w:val="00243F3C"/>
    <w:rsid w:val="0026254A"/>
    <w:rsid w:val="00275BE1"/>
    <w:rsid w:val="002B1C14"/>
    <w:rsid w:val="002C0F57"/>
    <w:rsid w:val="002D3849"/>
    <w:rsid w:val="002E0B2C"/>
    <w:rsid w:val="00300F57"/>
    <w:rsid w:val="0030323A"/>
    <w:rsid w:val="00313D8B"/>
    <w:rsid w:val="00333DD5"/>
    <w:rsid w:val="00342AF1"/>
    <w:rsid w:val="0034485B"/>
    <w:rsid w:val="003524ED"/>
    <w:rsid w:val="003634BC"/>
    <w:rsid w:val="003B18AA"/>
    <w:rsid w:val="003C14AD"/>
    <w:rsid w:val="003D6EE9"/>
    <w:rsid w:val="003F6CAE"/>
    <w:rsid w:val="003F7389"/>
    <w:rsid w:val="004048A5"/>
    <w:rsid w:val="004164D5"/>
    <w:rsid w:val="0042131E"/>
    <w:rsid w:val="00422226"/>
    <w:rsid w:val="00433D26"/>
    <w:rsid w:val="00437568"/>
    <w:rsid w:val="004406F6"/>
    <w:rsid w:val="00454EAE"/>
    <w:rsid w:val="00457671"/>
    <w:rsid w:val="00474FC0"/>
    <w:rsid w:val="004764CB"/>
    <w:rsid w:val="004817E3"/>
    <w:rsid w:val="004D245B"/>
    <w:rsid w:val="00510957"/>
    <w:rsid w:val="00527D37"/>
    <w:rsid w:val="0053786F"/>
    <w:rsid w:val="00553B0A"/>
    <w:rsid w:val="00556DA2"/>
    <w:rsid w:val="00580D90"/>
    <w:rsid w:val="005C25A2"/>
    <w:rsid w:val="005D49CB"/>
    <w:rsid w:val="0062401B"/>
    <w:rsid w:val="00687EB3"/>
    <w:rsid w:val="00690633"/>
    <w:rsid w:val="00696CE9"/>
    <w:rsid w:val="006C259B"/>
    <w:rsid w:val="006D1BEA"/>
    <w:rsid w:val="006F15B8"/>
    <w:rsid w:val="00703919"/>
    <w:rsid w:val="007220AF"/>
    <w:rsid w:val="00726351"/>
    <w:rsid w:val="00726E48"/>
    <w:rsid w:val="007274E1"/>
    <w:rsid w:val="00736B9A"/>
    <w:rsid w:val="00746740"/>
    <w:rsid w:val="00757755"/>
    <w:rsid w:val="007704E9"/>
    <w:rsid w:val="00773361"/>
    <w:rsid w:val="00787021"/>
    <w:rsid w:val="007A632A"/>
    <w:rsid w:val="007D16D0"/>
    <w:rsid w:val="007F62E0"/>
    <w:rsid w:val="00804E03"/>
    <w:rsid w:val="00823F7C"/>
    <w:rsid w:val="00841B21"/>
    <w:rsid w:val="0084725D"/>
    <w:rsid w:val="00863A39"/>
    <w:rsid w:val="0086606B"/>
    <w:rsid w:val="00886CFD"/>
    <w:rsid w:val="008A0B59"/>
    <w:rsid w:val="008B5B63"/>
    <w:rsid w:val="008B68E1"/>
    <w:rsid w:val="008C5023"/>
    <w:rsid w:val="008C69F9"/>
    <w:rsid w:val="008D6FFB"/>
    <w:rsid w:val="008E3101"/>
    <w:rsid w:val="009057FE"/>
    <w:rsid w:val="00940169"/>
    <w:rsid w:val="00943FD2"/>
    <w:rsid w:val="009B428E"/>
    <w:rsid w:val="009C6AB3"/>
    <w:rsid w:val="009D6C03"/>
    <w:rsid w:val="009E7E15"/>
    <w:rsid w:val="009F09EF"/>
    <w:rsid w:val="00A15EC4"/>
    <w:rsid w:val="00A3692C"/>
    <w:rsid w:val="00A703CB"/>
    <w:rsid w:val="00A7627E"/>
    <w:rsid w:val="00A86FE3"/>
    <w:rsid w:val="00A974CD"/>
    <w:rsid w:val="00AB5BD5"/>
    <w:rsid w:val="00AF01D9"/>
    <w:rsid w:val="00B2202C"/>
    <w:rsid w:val="00B34952"/>
    <w:rsid w:val="00B84A96"/>
    <w:rsid w:val="00B966CA"/>
    <w:rsid w:val="00BB2312"/>
    <w:rsid w:val="00BC07C2"/>
    <w:rsid w:val="00BC3795"/>
    <w:rsid w:val="00BF0575"/>
    <w:rsid w:val="00BF6C9E"/>
    <w:rsid w:val="00C12665"/>
    <w:rsid w:val="00C4691F"/>
    <w:rsid w:val="00C532AA"/>
    <w:rsid w:val="00C63B0A"/>
    <w:rsid w:val="00C65C46"/>
    <w:rsid w:val="00C70AC2"/>
    <w:rsid w:val="00C762C9"/>
    <w:rsid w:val="00C9093A"/>
    <w:rsid w:val="00C91606"/>
    <w:rsid w:val="00CA2368"/>
    <w:rsid w:val="00CA52FF"/>
    <w:rsid w:val="00CD4674"/>
    <w:rsid w:val="00CF24D5"/>
    <w:rsid w:val="00D2049F"/>
    <w:rsid w:val="00D22561"/>
    <w:rsid w:val="00D230C2"/>
    <w:rsid w:val="00D32A54"/>
    <w:rsid w:val="00D437A2"/>
    <w:rsid w:val="00D82F8E"/>
    <w:rsid w:val="00D87528"/>
    <w:rsid w:val="00DC1278"/>
    <w:rsid w:val="00DC6C3D"/>
    <w:rsid w:val="00DE3633"/>
    <w:rsid w:val="00E05BE2"/>
    <w:rsid w:val="00E54B16"/>
    <w:rsid w:val="00E97A55"/>
    <w:rsid w:val="00EB6C75"/>
    <w:rsid w:val="00EC02F0"/>
    <w:rsid w:val="00EC1307"/>
    <w:rsid w:val="00ED07CF"/>
    <w:rsid w:val="00ED615B"/>
    <w:rsid w:val="00F0268A"/>
    <w:rsid w:val="00F10519"/>
    <w:rsid w:val="00F20C2C"/>
    <w:rsid w:val="00FA2C8C"/>
    <w:rsid w:val="00FB5020"/>
    <w:rsid w:val="00FC71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E2E8"/>
  <w15:chartTrackingRefBased/>
  <w15:docId w15:val="{0FF69897-CE0E-42C4-B7FD-52599331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5B"/>
  </w:style>
  <w:style w:type="paragraph" w:styleId="Heading1">
    <w:name w:val="heading 1"/>
    <w:basedOn w:val="Normal"/>
    <w:next w:val="Normal"/>
    <w:link w:val="Heading1Char"/>
    <w:uiPriority w:val="9"/>
    <w:qFormat/>
    <w:rsid w:val="0030323A"/>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4D24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9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3919"/>
  </w:style>
  <w:style w:type="paragraph" w:styleId="Footer">
    <w:name w:val="footer"/>
    <w:basedOn w:val="Normal"/>
    <w:link w:val="FooterChar"/>
    <w:uiPriority w:val="99"/>
    <w:unhideWhenUsed/>
    <w:rsid w:val="007039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3919"/>
  </w:style>
  <w:style w:type="character" w:customStyle="1" w:styleId="Heading1Char">
    <w:name w:val="Heading 1 Char"/>
    <w:basedOn w:val="DefaultParagraphFont"/>
    <w:link w:val="Heading1"/>
    <w:uiPriority w:val="9"/>
    <w:rsid w:val="0030323A"/>
    <w:rPr>
      <w:rFonts w:asciiTheme="majorHAnsi" w:eastAsiaTheme="majorEastAsia" w:hAnsiTheme="majorHAnsi" w:cstheme="majorBidi"/>
      <w:color w:val="000000" w:themeColor="text1"/>
      <w:sz w:val="32"/>
      <w:szCs w:val="32"/>
    </w:rPr>
  </w:style>
  <w:style w:type="paragraph" w:styleId="TOCHeading">
    <w:name w:val="TOC Heading"/>
    <w:basedOn w:val="Heading1"/>
    <w:next w:val="Normal"/>
    <w:uiPriority w:val="39"/>
    <w:unhideWhenUsed/>
    <w:qFormat/>
    <w:rsid w:val="0030323A"/>
    <w:pPr>
      <w:outlineLvl w:val="9"/>
    </w:pPr>
    <w:rPr>
      <w:color w:val="2F5496" w:themeColor="accent1" w:themeShade="BF"/>
      <w:kern w:val="0"/>
      <w:lang w:val="en-US"/>
      <w14:ligatures w14:val="none"/>
    </w:rPr>
  </w:style>
  <w:style w:type="paragraph" w:styleId="TOC1">
    <w:name w:val="toc 1"/>
    <w:basedOn w:val="Normal"/>
    <w:next w:val="Normal"/>
    <w:autoRedefine/>
    <w:uiPriority w:val="39"/>
    <w:unhideWhenUsed/>
    <w:rsid w:val="0030323A"/>
    <w:pPr>
      <w:spacing w:after="100"/>
    </w:pPr>
  </w:style>
  <w:style w:type="character" w:styleId="Hyperlink">
    <w:name w:val="Hyperlink"/>
    <w:basedOn w:val="DefaultParagraphFont"/>
    <w:uiPriority w:val="99"/>
    <w:unhideWhenUsed/>
    <w:rsid w:val="0030323A"/>
    <w:rPr>
      <w:color w:val="0563C1" w:themeColor="hyperlink"/>
      <w:u w:val="single"/>
    </w:rPr>
  </w:style>
  <w:style w:type="character" w:styleId="CommentReference">
    <w:name w:val="annotation reference"/>
    <w:basedOn w:val="DefaultParagraphFont"/>
    <w:uiPriority w:val="99"/>
    <w:semiHidden/>
    <w:unhideWhenUsed/>
    <w:rsid w:val="00D437A2"/>
    <w:rPr>
      <w:sz w:val="16"/>
      <w:szCs w:val="16"/>
    </w:rPr>
  </w:style>
  <w:style w:type="paragraph" w:styleId="CommentText">
    <w:name w:val="annotation text"/>
    <w:basedOn w:val="Normal"/>
    <w:link w:val="CommentTextChar"/>
    <w:uiPriority w:val="99"/>
    <w:unhideWhenUsed/>
    <w:rsid w:val="00D437A2"/>
    <w:pPr>
      <w:spacing w:line="240" w:lineRule="auto"/>
    </w:pPr>
    <w:rPr>
      <w:sz w:val="20"/>
      <w:szCs w:val="20"/>
    </w:rPr>
  </w:style>
  <w:style w:type="character" w:customStyle="1" w:styleId="CommentTextChar">
    <w:name w:val="Comment Text Char"/>
    <w:basedOn w:val="DefaultParagraphFont"/>
    <w:link w:val="CommentText"/>
    <w:uiPriority w:val="99"/>
    <w:rsid w:val="00D437A2"/>
    <w:rPr>
      <w:sz w:val="20"/>
      <w:szCs w:val="20"/>
    </w:rPr>
  </w:style>
  <w:style w:type="paragraph" w:styleId="CommentSubject">
    <w:name w:val="annotation subject"/>
    <w:basedOn w:val="CommentText"/>
    <w:next w:val="CommentText"/>
    <w:link w:val="CommentSubjectChar"/>
    <w:uiPriority w:val="99"/>
    <w:semiHidden/>
    <w:unhideWhenUsed/>
    <w:rsid w:val="00D437A2"/>
    <w:rPr>
      <w:b/>
      <w:bCs/>
    </w:rPr>
  </w:style>
  <w:style w:type="character" w:customStyle="1" w:styleId="CommentSubjectChar">
    <w:name w:val="Comment Subject Char"/>
    <w:basedOn w:val="CommentTextChar"/>
    <w:link w:val="CommentSubject"/>
    <w:uiPriority w:val="99"/>
    <w:semiHidden/>
    <w:rsid w:val="00D437A2"/>
    <w:rPr>
      <w:b/>
      <w:bCs/>
      <w:sz w:val="20"/>
      <w:szCs w:val="20"/>
    </w:rPr>
  </w:style>
  <w:style w:type="paragraph" w:styleId="ListParagraph">
    <w:name w:val="List Paragraph"/>
    <w:basedOn w:val="Normal"/>
    <w:uiPriority w:val="34"/>
    <w:qFormat/>
    <w:rsid w:val="009F09EF"/>
    <w:pPr>
      <w:ind w:left="720"/>
      <w:contextualSpacing/>
    </w:pPr>
  </w:style>
  <w:style w:type="character" w:styleId="UnresolvedMention">
    <w:name w:val="Unresolved Mention"/>
    <w:basedOn w:val="DefaultParagraphFont"/>
    <w:uiPriority w:val="99"/>
    <w:semiHidden/>
    <w:unhideWhenUsed/>
    <w:rsid w:val="00BB2312"/>
    <w:rPr>
      <w:color w:val="605E5C"/>
      <w:shd w:val="clear" w:color="auto" w:fill="E1DFDD"/>
    </w:rPr>
  </w:style>
  <w:style w:type="character" w:customStyle="1" w:styleId="Heading2Char">
    <w:name w:val="Heading 2 Char"/>
    <w:basedOn w:val="DefaultParagraphFont"/>
    <w:link w:val="Heading2"/>
    <w:uiPriority w:val="9"/>
    <w:rsid w:val="004D245B"/>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D82F8E"/>
    <w:pPr>
      <w:spacing w:after="100"/>
      <w:ind w:left="220"/>
    </w:pPr>
  </w:style>
  <w:style w:type="paragraph" w:customStyle="1" w:styleId="Style1">
    <w:name w:val="Style1"/>
    <w:basedOn w:val="Heading2"/>
    <w:link w:val="Style1Char"/>
    <w:qFormat/>
    <w:rsid w:val="004D245B"/>
    <w:rPr>
      <w:color w:val="auto"/>
      <w:lang w:val="en-GB"/>
    </w:rPr>
  </w:style>
  <w:style w:type="character" w:customStyle="1" w:styleId="Style1Char">
    <w:name w:val="Style1 Char"/>
    <w:basedOn w:val="Heading2Char"/>
    <w:link w:val="Style1"/>
    <w:rsid w:val="004D245B"/>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uroqol.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www.modifiedrankin.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35FC55CC-F3E1-424C-AC7C-CD866D9E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1820</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Dillenbeck</dc:creator>
  <cp:keywords/>
  <dc:description/>
  <cp:lastModifiedBy>Emelie Dillenbeck</cp:lastModifiedBy>
  <cp:revision>149</cp:revision>
  <dcterms:created xsi:type="dcterms:W3CDTF">2023-04-26T11:48:00Z</dcterms:created>
  <dcterms:modified xsi:type="dcterms:W3CDTF">2023-09-28T11:47:00Z</dcterms:modified>
</cp:coreProperties>
</file>